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72F2" w14:textId="77777777" w:rsidR="007B0CF9" w:rsidRPr="00BC3778" w:rsidRDefault="00C2486E">
      <w:pPr>
        <w:jc w:val="center"/>
        <w:rPr>
          <w:b/>
          <w:bCs/>
        </w:rPr>
      </w:pPr>
      <w:r w:rsidRPr="00BC3778">
        <w:rPr>
          <w:b/>
          <w:bCs/>
        </w:rPr>
        <w:t xml:space="preserve">POLITICA PER LA </w:t>
      </w:r>
      <w:r w:rsidR="00A25743">
        <w:rPr>
          <w:b/>
          <w:bCs/>
        </w:rPr>
        <w:t>SICUREZZA DEI SISTEMI DI INFORMAZIONE</w:t>
      </w:r>
      <w:r w:rsidR="00123F9A">
        <w:rPr>
          <w:b/>
          <w:bCs/>
        </w:rPr>
        <w:t xml:space="preserve"> (SSI)</w:t>
      </w:r>
    </w:p>
    <w:p w14:paraId="02B9ADC7" w14:textId="77777777" w:rsidR="005F2549" w:rsidRDefault="005F2549" w:rsidP="005F2549">
      <w:pPr>
        <w:jc w:val="both"/>
      </w:pPr>
    </w:p>
    <w:p w14:paraId="284C53AE" w14:textId="77777777" w:rsidR="00123F9A" w:rsidRDefault="00123F9A" w:rsidP="00123F9A">
      <w:pPr>
        <w:jc w:val="both"/>
      </w:pPr>
      <w:r w:rsidRPr="00123F9A">
        <w:rPr>
          <w:b/>
          <w:bCs/>
        </w:rPr>
        <w:t>Brambati SpA</w:t>
      </w:r>
      <w:r w:rsidRPr="00123F9A">
        <w:t xml:space="preserve"> considera la Sicurezza dei Sistemi di Informazione (SSI) un elemento strategico per la tutela dei propri dati, processi e relazioni con clienti, fornitori e stakeholder. La presente Politica è coerente con i principi delle Direttive Europee NIS2 e REC, si ispira alle migliori pratiche della norma ISO/IEC 27001 e integra i requisiti del Sistema di Gestione Integrato aziendale.</w:t>
      </w:r>
    </w:p>
    <w:p w14:paraId="13331062" w14:textId="77777777" w:rsidR="00123F9A" w:rsidRPr="00123F9A" w:rsidRDefault="00123F9A" w:rsidP="00123F9A">
      <w:pPr>
        <w:jc w:val="both"/>
      </w:pPr>
    </w:p>
    <w:p w14:paraId="290845BC" w14:textId="77777777" w:rsidR="00123F9A" w:rsidRPr="00123F9A" w:rsidRDefault="00123F9A" w:rsidP="00123F9A">
      <w:pPr>
        <w:jc w:val="both"/>
        <w:rPr>
          <w:b/>
          <w:bCs/>
        </w:rPr>
      </w:pPr>
      <w:r w:rsidRPr="00123F9A">
        <w:rPr>
          <w:b/>
          <w:bCs/>
        </w:rPr>
        <w:t>Principi fondamentali</w:t>
      </w:r>
    </w:p>
    <w:p w14:paraId="3D6817BC" w14:textId="77777777" w:rsidR="00123F9A" w:rsidRDefault="00123F9A" w:rsidP="00123F9A">
      <w:pPr>
        <w:jc w:val="both"/>
      </w:pPr>
      <w:r w:rsidRPr="00123F9A">
        <w:t xml:space="preserve">I principi fondamentali che guidano la gestione della sicurezza delle informazioni in </w:t>
      </w:r>
      <w:r w:rsidRPr="00123F9A">
        <w:rPr>
          <w:b/>
          <w:bCs/>
        </w:rPr>
        <w:t>Brambati SpA</w:t>
      </w:r>
      <w:r w:rsidRPr="00123F9A">
        <w:t xml:space="preserve"> si basano su:</w:t>
      </w:r>
    </w:p>
    <w:p w14:paraId="5D636A5A" w14:textId="77777777" w:rsidR="00123F9A" w:rsidRPr="00123F9A" w:rsidRDefault="00123F9A" w:rsidP="00123F9A">
      <w:pPr>
        <w:jc w:val="both"/>
      </w:pPr>
    </w:p>
    <w:p w14:paraId="49F3DD7B" w14:textId="77777777" w:rsidR="00123F9A" w:rsidRPr="00123F9A" w:rsidRDefault="00123F9A" w:rsidP="00123F9A">
      <w:pPr>
        <w:pStyle w:val="Paragrafoelenco"/>
        <w:numPr>
          <w:ilvl w:val="0"/>
          <w:numId w:val="11"/>
        </w:numPr>
        <w:jc w:val="both"/>
      </w:pPr>
      <w:r w:rsidRPr="00123F9A">
        <w:t>Disponibilità → garantire che i sistemi e le informazioni siano accessibili e utilizzabili quando richiesto dai processi aziendali e dagli utenti autorizzati;</w:t>
      </w:r>
    </w:p>
    <w:p w14:paraId="2B8488E8" w14:textId="77777777" w:rsidR="00123F9A" w:rsidRPr="00123F9A" w:rsidRDefault="00123F9A" w:rsidP="00123F9A">
      <w:pPr>
        <w:pStyle w:val="Paragrafoelenco"/>
        <w:numPr>
          <w:ilvl w:val="0"/>
          <w:numId w:val="11"/>
        </w:numPr>
        <w:jc w:val="both"/>
      </w:pPr>
      <w:r w:rsidRPr="00123F9A">
        <w:t>Integrità → assicurare l’accuratezza, la completezza e l’affidabilità dei dati e delle informazioni lungo l’intero ciclo di vita;</w:t>
      </w:r>
    </w:p>
    <w:p w14:paraId="1685023A" w14:textId="77777777" w:rsidR="00123F9A" w:rsidRPr="00123F9A" w:rsidRDefault="00123F9A" w:rsidP="00123F9A">
      <w:pPr>
        <w:pStyle w:val="Paragrafoelenco"/>
        <w:numPr>
          <w:ilvl w:val="0"/>
          <w:numId w:val="11"/>
        </w:numPr>
        <w:jc w:val="both"/>
      </w:pPr>
      <w:r w:rsidRPr="00123F9A">
        <w:t>Confidenzialità → proteggere le informazioni da accessi non autorizzati, garantendo che solo i soggetti legittimati possano accedervi e trattarle.</w:t>
      </w:r>
    </w:p>
    <w:p w14:paraId="07B32BAA" w14:textId="77777777" w:rsidR="00123F9A" w:rsidRDefault="00123F9A" w:rsidP="00123F9A">
      <w:pPr>
        <w:jc w:val="both"/>
        <w:rPr>
          <w:b/>
          <w:bCs/>
        </w:rPr>
      </w:pPr>
    </w:p>
    <w:p w14:paraId="7F9EBBE5" w14:textId="77777777" w:rsidR="00123F9A" w:rsidRPr="00123F9A" w:rsidRDefault="00123F9A" w:rsidP="00123F9A">
      <w:pPr>
        <w:jc w:val="both"/>
        <w:rPr>
          <w:b/>
          <w:bCs/>
        </w:rPr>
      </w:pPr>
      <w:r w:rsidRPr="00123F9A">
        <w:rPr>
          <w:b/>
          <w:bCs/>
        </w:rPr>
        <w:t>Gestione dei rischi</w:t>
      </w:r>
    </w:p>
    <w:p w14:paraId="079B47AA" w14:textId="77777777" w:rsidR="00123F9A" w:rsidRDefault="00123F9A" w:rsidP="00123F9A">
      <w:pPr>
        <w:jc w:val="both"/>
      </w:pPr>
      <w:r w:rsidRPr="00123F9A">
        <w:rPr>
          <w:b/>
          <w:bCs/>
        </w:rPr>
        <w:t>Brambati SpA</w:t>
      </w:r>
      <w:r w:rsidRPr="00123F9A">
        <w:t xml:space="preserve"> adotta un approccio sistematico di Analisi dei Rischi e delle Opportunità per identificare, valutare e mitigare le minacce alla sicurezza delle informazioni, considerando anche l’impatto dei cambiamenti climatici e di eventi estremi sulla continuità dei sistemi ICT. In particolare, vengono analizzati:</w:t>
      </w:r>
    </w:p>
    <w:p w14:paraId="6B1907D1" w14:textId="77777777" w:rsidR="00123F9A" w:rsidRPr="00123F9A" w:rsidRDefault="00123F9A" w:rsidP="00123F9A">
      <w:pPr>
        <w:jc w:val="both"/>
      </w:pPr>
    </w:p>
    <w:p w14:paraId="3A4DCC92" w14:textId="77777777" w:rsidR="00123F9A" w:rsidRPr="00123F9A" w:rsidRDefault="00123F9A" w:rsidP="00123F9A">
      <w:pPr>
        <w:pStyle w:val="Paragrafoelenco"/>
        <w:numPr>
          <w:ilvl w:val="0"/>
          <w:numId w:val="12"/>
        </w:numPr>
        <w:jc w:val="both"/>
      </w:pPr>
      <w:r w:rsidRPr="00123F9A">
        <w:t>Cyber attacchi (malware, ransomware, phishing, accessi non autorizzati);</w:t>
      </w:r>
    </w:p>
    <w:p w14:paraId="55ADC93D" w14:textId="77777777" w:rsidR="00123F9A" w:rsidRPr="00123F9A" w:rsidRDefault="00123F9A" w:rsidP="00123F9A">
      <w:pPr>
        <w:pStyle w:val="Paragrafoelenco"/>
        <w:numPr>
          <w:ilvl w:val="0"/>
          <w:numId w:val="12"/>
        </w:numPr>
        <w:jc w:val="both"/>
      </w:pPr>
      <w:r w:rsidRPr="00123F9A">
        <w:t>Guasti tecnici, blackout e indisponibilità dei sistemi critici;</w:t>
      </w:r>
    </w:p>
    <w:p w14:paraId="070E1EF4" w14:textId="77777777" w:rsidR="00123F9A" w:rsidRPr="00123F9A" w:rsidRDefault="00123F9A" w:rsidP="00123F9A">
      <w:pPr>
        <w:pStyle w:val="Paragrafoelenco"/>
        <w:numPr>
          <w:ilvl w:val="0"/>
          <w:numId w:val="12"/>
        </w:numPr>
        <w:jc w:val="both"/>
      </w:pPr>
      <w:r w:rsidRPr="00123F9A">
        <w:t>Eventi naturali e climatici che possono compromettere infrastrutture e data center;</w:t>
      </w:r>
    </w:p>
    <w:p w14:paraId="43C6186F" w14:textId="77777777" w:rsidR="00123F9A" w:rsidRPr="00123F9A" w:rsidRDefault="00123F9A" w:rsidP="00123F9A">
      <w:pPr>
        <w:pStyle w:val="Paragrafoelenco"/>
        <w:numPr>
          <w:ilvl w:val="0"/>
          <w:numId w:val="12"/>
        </w:numPr>
        <w:jc w:val="both"/>
      </w:pPr>
      <w:r w:rsidRPr="00123F9A">
        <w:t>Rischi derivanti da fornitori esterni, partner e supply chain digitale;</w:t>
      </w:r>
    </w:p>
    <w:p w14:paraId="21A43118" w14:textId="77777777" w:rsidR="00123F9A" w:rsidRPr="00123F9A" w:rsidRDefault="00123F9A" w:rsidP="00123F9A">
      <w:pPr>
        <w:pStyle w:val="Paragrafoelenco"/>
        <w:numPr>
          <w:ilvl w:val="0"/>
          <w:numId w:val="12"/>
        </w:numPr>
        <w:jc w:val="both"/>
      </w:pPr>
      <w:r w:rsidRPr="00123F9A">
        <w:t>Errori umani e mancanza di consapevolezza del personale.</w:t>
      </w:r>
    </w:p>
    <w:p w14:paraId="32FC263C" w14:textId="77777777" w:rsidR="00123F9A" w:rsidRDefault="00123F9A" w:rsidP="00123F9A">
      <w:pPr>
        <w:jc w:val="both"/>
      </w:pPr>
    </w:p>
    <w:p w14:paraId="0E538E56" w14:textId="77777777" w:rsidR="00123F9A" w:rsidRPr="00123F9A" w:rsidRDefault="00123F9A" w:rsidP="00123F9A">
      <w:pPr>
        <w:jc w:val="both"/>
      </w:pPr>
      <w:r w:rsidRPr="00123F9A">
        <w:t>Le opportunità individuate comprendono:</w:t>
      </w:r>
    </w:p>
    <w:p w14:paraId="3688381C" w14:textId="77777777" w:rsidR="00123F9A" w:rsidRDefault="00123F9A" w:rsidP="00123F9A">
      <w:pPr>
        <w:jc w:val="both"/>
      </w:pPr>
    </w:p>
    <w:p w14:paraId="22DD4CDC" w14:textId="77777777" w:rsidR="00123F9A" w:rsidRPr="00123F9A" w:rsidRDefault="00123F9A" w:rsidP="00123F9A">
      <w:pPr>
        <w:pStyle w:val="Paragrafoelenco"/>
        <w:numPr>
          <w:ilvl w:val="0"/>
          <w:numId w:val="13"/>
        </w:numPr>
        <w:jc w:val="both"/>
      </w:pPr>
      <w:r w:rsidRPr="00123F9A">
        <w:t>Adozione di tecnologie innovative e sicure (cloud resiliente, AI, blockchain);</w:t>
      </w:r>
    </w:p>
    <w:p w14:paraId="1EDA60BA" w14:textId="77777777" w:rsidR="00123F9A" w:rsidRPr="00123F9A" w:rsidRDefault="00123F9A" w:rsidP="00123F9A">
      <w:pPr>
        <w:pStyle w:val="Paragrafoelenco"/>
        <w:numPr>
          <w:ilvl w:val="0"/>
          <w:numId w:val="13"/>
        </w:numPr>
        <w:jc w:val="both"/>
      </w:pPr>
      <w:r w:rsidRPr="00123F9A">
        <w:t>Sviluppo di una cultura aziendale della cyber security attraverso formazione continua;</w:t>
      </w:r>
    </w:p>
    <w:p w14:paraId="3ABD7A04" w14:textId="77777777" w:rsidR="00123F9A" w:rsidRPr="00123F9A" w:rsidRDefault="00123F9A" w:rsidP="00123F9A">
      <w:pPr>
        <w:pStyle w:val="Paragrafoelenco"/>
        <w:numPr>
          <w:ilvl w:val="0"/>
          <w:numId w:val="13"/>
        </w:numPr>
        <w:jc w:val="both"/>
      </w:pPr>
      <w:r w:rsidRPr="00123F9A">
        <w:t>Maggiore fiducia di clienti e stakeholder grazie a sistemi sicuri e affidabili;</w:t>
      </w:r>
    </w:p>
    <w:p w14:paraId="11FEB902" w14:textId="77777777" w:rsidR="00123F9A" w:rsidRPr="00123F9A" w:rsidRDefault="00123F9A" w:rsidP="00123F9A">
      <w:pPr>
        <w:pStyle w:val="Paragrafoelenco"/>
        <w:numPr>
          <w:ilvl w:val="0"/>
          <w:numId w:val="13"/>
        </w:numPr>
        <w:jc w:val="both"/>
      </w:pPr>
      <w:r w:rsidRPr="00123F9A">
        <w:t>Resilienza organizzativa e capacità di risposta rapida a incidenti e crisi.</w:t>
      </w:r>
    </w:p>
    <w:p w14:paraId="740C3520" w14:textId="77777777" w:rsidR="00123F9A" w:rsidRDefault="00123F9A" w:rsidP="00123F9A">
      <w:pPr>
        <w:jc w:val="both"/>
        <w:rPr>
          <w:b/>
          <w:bCs/>
        </w:rPr>
      </w:pPr>
    </w:p>
    <w:p w14:paraId="135EFDB2" w14:textId="77777777" w:rsidR="00123F9A" w:rsidRPr="00123F9A" w:rsidRDefault="00123F9A" w:rsidP="00123F9A">
      <w:pPr>
        <w:jc w:val="both"/>
        <w:rPr>
          <w:b/>
          <w:bCs/>
        </w:rPr>
      </w:pPr>
      <w:r w:rsidRPr="00123F9A">
        <w:rPr>
          <w:b/>
          <w:bCs/>
        </w:rPr>
        <w:t>Impegni della Direzione</w:t>
      </w:r>
    </w:p>
    <w:p w14:paraId="3E374CE3" w14:textId="77777777" w:rsidR="00123F9A" w:rsidRDefault="00123F9A" w:rsidP="00123F9A">
      <w:pPr>
        <w:jc w:val="both"/>
      </w:pPr>
      <w:r w:rsidRPr="00123F9A">
        <w:t xml:space="preserve">La Direzione di </w:t>
      </w:r>
      <w:r w:rsidRPr="00123F9A">
        <w:rPr>
          <w:b/>
          <w:bCs/>
        </w:rPr>
        <w:t>Brambati SpA</w:t>
      </w:r>
      <w:r w:rsidRPr="00123F9A">
        <w:t xml:space="preserve"> si impegna a:</w:t>
      </w:r>
    </w:p>
    <w:p w14:paraId="6A8D7548" w14:textId="77777777" w:rsidR="00123F9A" w:rsidRPr="00123F9A" w:rsidRDefault="00123F9A" w:rsidP="00123F9A">
      <w:pPr>
        <w:jc w:val="both"/>
      </w:pPr>
    </w:p>
    <w:p w14:paraId="4FD93CAC" w14:textId="77777777" w:rsidR="00123F9A" w:rsidRPr="00123F9A" w:rsidRDefault="00123F9A" w:rsidP="00123F9A">
      <w:pPr>
        <w:pStyle w:val="Paragrafoelenco"/>
        <w:numPr>
          <w:ilvl w:val="0"/>
          <w:numId w:val="14"/>
        </w:numPr>
        <w:jc w:val="both"/>
      </w:pPr>
      <w:r w:rsidRPr="00123F9A">
        <w:t>Assicurare la conformità alle leggi, regolamenti e direttive applicabili (NIS2, REC, GDPR, Codice Privacy);</w:t>
      </w:r>
    </w:p>
    <w:p w14:paraId="5BF97371" w14:textId="77777777" w:rsidR="00123F9A" w:rsidRPr="00123F9A" w:rsidRDefault="00123F9A" w:rsidP="00123F9A">
      <w:pPr>
        <w:pStyle w:val="Paragrafoelenco"/>
        <w:numPr>
          <w:ilvl w:val="0"/>
          <w:numId w:val="14"/>
        </w:numPr>
        <w:jc w:val="both"/>
      </w:pPr>
      <w:r w:rsidRPr="00123F9A">
        <w:t>Definire obiettivi e programmi di miglioramento della sicurezza delle informazioni;</w:t>
      </w:r>
    </w:p>
    <w:p w14:paraId="0BCE918B" w14:textId="77777777" w:rsidR="00123F9A" w:rsidRPr="00123F9A" w:rsidRDefault="00123F9A" w:rsidP="00123F9A">
      <w:pPr>
        <w:pStyle w:val="Paragrafoelenco"/>
        <w:numPr>
          <w:ilvl w:val="0"/>
          <w:numId w:val="14"/>
        </w:numPr>
        <w:jc w:val="both"/>
      </w:pPr>
      <w:r w:rsidRPr="00123F9A">
        <w:t>Garantire risorse, ruoli e responsabilità per la gestione della sicurezza;</w:t>
      </w:r>
    </w:p>
    <w:p w14:paraId="0EB22CA8" w14:textId="77777777" w:rsidR="00123F9A" w:rsidRPr="00123F9A" w:rsidRDefault="00123F9A" w:rsidP="00123F9A">
      <w:pPr>
        <w:pStyle w:val="Paragrafoelenco"/>
        <w:numPr>
          <w:ilvl w:val="0"/>
          <w:numId w:val="14"/>
        </w:numPr>
        <w:jc w:val="both"/>
      </w:pPr>
      <w:r w:rsidRPr="00123F9A">
        <w:t>Riesaminare periodicamente la presente Politica e il sistema di sicurezza delle informazioni per verificarne efficacia e adeguatezza;</w:t>
      </w:r>
    </w:p>
    <w:p w14:paraId="6467F47B" w14:textId="77777777" w:rsidR="00123F9A" w:rsidRPr="00123F9A" w:rsidRDefault="00123F9A" w:rsidP="00123F9A">
      <w:pPr>
        <w:pStyle w:val="Paragrafoelenco"/>
        <w:numPr>
          <w:ilvl w:val="0"/>
          <w:numId w:val="14"/>
        </w:numPr>
        <w:jc w:val="both"/>
      </w:pPr>
      <w:r w:rsidRPr="00123F9A">
        <w:t>Integrare i principi di sicurezza by design e by default nello sviluppo e nella gestione di processi e sistemi informativi;</w:t>
      </w:r>
    </w:p>
    <w:p w14:paraId="031B0F85" w14:textId="77777777" w:rsidR="00123F9A" w:rsidRPr="00123F9A" w:rsidRDefault="00123F9A" w:rsidP="00123F9A">
      <w:pPr>
        <w:pStyle w:val="Paragrafoelenco"/>
        <w:numPr>
          <w:ilvl w:val="0"/>
          <w:numId w:val="14"/>
        </w:numPr>
        <w:jc w:val="both"/>
      </w:pPr>
      <w:r w:rsidRPr="00123F9A">
        <w:t>Promuovere la sensibilizzazione e la formazione di tutto il personale in materia di sicurezza delle informazioni.</w:t>
      </w:r>
    </w:p>
    <w:p w14:paraId="402F05F5" w14:textId="77777777" w:rsidR="00123F9A" w:rsidRDefault="00123F9A" w:rsidP="00123F9A">
      <w:pPr>
        <w:jc w:val="both"/>
        <w:rPr>
          <w:b/>
          <w:bCs/>
        </w:rPr>
      </w:pPr>
    </w:p>
    <w:p w14:paraId="67045B06" w14:textId="77777777" w:rsidR="00123F9A" w:rsidRPr="00123F9A" w:rsidRDefault="00123F9A" w:rsidP="00123F9A">
      <w:pPr>
        <w:jc w:val="both"/>
        <w:rPr>
          <w:b/>
          <w:bCs/>
        </w:rPr>
      </w:pPr>
      <w:r w:rsidRPr="00123F9A">
        <w:rPr>
          <w:b/>
          <w:bCs/>
        </w:rPr>
        <w:lastRenderedPageBreak/>
        <w:t>Obiettivi operativi</w:t>
      </w:r>
    </w:p>
    <w:p w14:paraId="2D24EFEA" w14:textId="77777777" w:rsidR="00123F9A" w:rsidRDefault="00123F9A" w:rsidP="00123F9A">
      <w:pPr>
        <w:jc w:val="both"/>
      </w:pPr>
      <w:r w:rsidRPr="00123F9A">
        <w:t xml:space="preserve">Gli obiettivi operativi che </w:t>
      </w:r>
      <w:r w:rsidRPr="00123F9A">
        <w:rPr>
          <w:b/>
          <w:bCs/>
        </w:rPr>
        <w:t>Brambati SpA</w:t>
      </w:r>
      <w:r w:rsidRPr="00123F9A">
        <w:t xml:space="preserve"> si pone in materia di SSI comprendono:</w:t>
      </w:r>
    </w:p>
    <w:p w14:paraId="7D14ABB6" w14:textId="77777777" w:rsidR="00123F9A" w:rsidRPr="00123F9A" w:rsidRDefault="00123F9A" w:rsidP="00123F9A">
      <w:pPr>
        <w:jc w:val="both"/>
      </w:pPr>
    </w:p>
    <w:p w14:paraId="1D0C5ECE" w14:textId="77777777" w:rsidR="00123F9A" w:rsidRPr="00123F9A" w:rsidRDefault="00123F9A" w:rsidP="00123F9A">
      <w:pPr>
        <w:pStyle w:val="Paragrafoelenco"/>
        <w:numPr>
          <w:ilvl w:val="0"/>
          <w:numId w:val="15"/>
        </w:numPr>
        <w:jc w:val="both"/>
      </w:pPr>
      <w:r w:rsidRPr="00123F9A">
        <w:t>Proteggere i dati personali, industriali e proprietari da accessi e trattamenti non autorizzati;</w:t>
      </w:r>
    </w:p>
    <w:p w14:paraId="7E9DB7B5" w14:textId="77777777" w:rsidR="00123F9A" w:rsidRPr="00123F9A" w:rsidRDefault="00123F9A" w:rsidP="00123F9A">
      <w:pPr>
        <w:pStyle w:val="Paragrafoelenco"/>
        <w:numPr>
          <w:ilvl w:val="0"/>
          <w:numId w:val="15"/>
        </w:numPr>
        <w:jc w:val="both"/>
      </w:pPr>
      <w:r w:rsidRPr="00123F9A">
        <w:t xml:space="preserve">Garantire continuità operativa e capacità di ripristino rapido tramite piani di Business </w:t>
      </w:r>
      <w:proofErr w:type="spellStart"/>
      <w:r w:rsidRPr="00123F9A">
        <w:t>Continuity</w:t>
      </w:r>
      <w:proofErr w:type="spellEnd"/>
      <w:r w:rsidRPr="00123F9A">
        <w:t xml:space="preserve"> e </w:t>
      </w:r>
      <w:proofErr w:type="spellStart"/>
      <w:r w:rsidRPr="00123F9A">
        <w:t>Disaster</w:t>
      </w:r>
      <w:proofErr w:type="spellEnd"/>
      <w:r w:rsidRPr="00123F9A">
        <w:t xml:space="preserve"> Recovery;</w:t>
      </w:r>
    </w:p>
    <w:p w14:paraId="039DA7C6" w14:textId="77777777" w:rsidR="00123F9A" w:rsidRPr="00123F9A" w:rsidRDefault="00123F9A" w:rsidP="00123F9A">
      <w:pPr>
        <w:pStyle w:val="Paragrafoelenco"/>
        <w:numPr>
          <w:ilvl w:val="0"/>
          <w:numId w:val="15"/>
        </w:numPr>
        <w:jc w:val="both"/>
      </w:pPr>
      <w:r w:rsidRPr="00123F9A">
        <w:t>Monitorare costantemente i sistemi per rilevare e rispondere tempestivamente a incidenti di sicurezza;</w:t>
      </w:r>
    </w:p>
    <w:p w14:paraId="523A048F" w14:textId="77777777" w:rsidR="00123F9A" w:rsidRPr="00123F9A" w:rsidRDefault="00123F9A" w:rsidP="00123F9A">
      <w:pPr>
        <w:pStyle w:val="Paragrafoelenco"/>
        <w:numPr>
          <w:ilvl w:val="0"/>
          <w:numId w:val="15"/>
        </w:numPr>
        <w:jc w:val="both"/>
      </w:pPr>
      <w:r w:rsidRPr="00123F9A">
        <w:t>Gestire correttamente gli accessi, le identità digitali e i privilegi degli utenti;</w:t>
      </w:r>
    </w:p>
    <w:p w14:paraId="16CDD38B" w14:textId="77777777" w:rsidR="00123F9A" w:rsidRPr="00123F9A" w:rsidRDefault="00123F9A" w:rsidP="00123F9A">
      <w:pPr>
        <w:pStyle w:val="Paragrafoelenco"/>
        <w:numPr>
          <w:ilvl w:val="0"/>
          <w:numId w:val="15"/>
        </w:numPr>
        <w:jc w:val="both"/>
      </w:pPr>
      <w:r w:rsidRPr="00123F9A">
        <w:t>Effettuare regolarmente backup sicuri e test di ripristino;</w:t>
      </w:r>
    </w:p>
    <w:p w14:paraId="71393D0E" w14:textId="77777777" w:rsidR="00123F9A" w:rsidRPr="00123F9A" w:rsidRDefault="00123F9A" w:rsidP="00123F9A">
      <w:pPr>
        <w:pStyle w:val="Paragrafoelenco"/>
        <w:numPr>
          <w:ilvl w:val="0"/>
          <w:numId w:val="15"/>
        </w:numPr>
        <w:jc w:val="both"/>
      </w:pPr>
      <w:r w:rsidRPr="00123F9A">
        <w:t>Valutare e monitorare i fornitori critici e i servizi in outsourcing per garantirne l’allineamento agli standard di sicurezza aziendali.</w:t>
      </w:r>
    </w:p>
    <w:p w14:paraId="3BE83FD1" w14:textId="77777777" w:rsidR="00123F9A" w:rsidRDefault="00123F9A" w:rsidP="00123F9A">
      <w:pPr>
        <w:jc w:val="both"/>
        <w:rPr>
          <w:b/>
          <w:bCs/>
        </w:rPr>
      </w:pPr>
    </w:p>
    <w:p w14:paraId="57E506D2" w14:textId="77777777" w:rsidR="00123F9A" w:rsidRPr="00123F9A" w:rsidRDefault="00123F9A" w:rsidP="00123F9A">
      <w:pPr>
        <w:jc w:val="both"/>
        <w:rPr>
          <w:b/>
          <w:bCs/>
        </w:rPr>
      </w:pPr>
      <w:r w:rsidRPr="00123F9A">
        <w:rPr>
          <w:b/>
          <w:bCs/>
        </w:rPr>
        <w:t>Monitoraggio e miglioramento</w:t>
      </w:r>
    </w:p>
    <w:p w14:paraId="08439496" w14:textId="77777777" w:rsidR="00123F9A" w:rsidRDefault="00123F9A" w:rsidP="00123F9A">
      <w:pPr>
        <w:jc w:val="both"/>
      </w:pPr>
      <w:r w:rsidRPr="00123F9A">
        <w:rPr>
          <w:b/>
          <w:bCs/>
        </w:rPr>
        <w:t>Brambati SpA</w:t>
      </w:r>
      <w:r w:rsidRPr="00123F9A">
        <w:t xml:space="preserve"> garantisce un monitoraggio costante e il miglioramento continuo della sicurezza dei sistemi di informazione tramite:</w:t>
      </w:r>
    </w:p>
    <w:p w14:paraId="23A8005B" w14:textId="77777777" w:rsidR="00123F9A" w:rsidRPr="00123F9A" w:rsidRDefault="00123F9A" w:rsidP="00123F9A">
      <w:pPr>
        <w:jc w:val="both"/>
      </w:pPr>
    </w:p>
    <w:p w14:paraId="7F226FEE" w14:textId="77777777" w:rsidR="00123F9A" w:rsidRPr="00123F9A" w:rsidRDefault="00123F9A" w:rsidP="00123F9A">
      <w:pPr>
        <w:pStyle w:val="Paragrafoelenco"/>
        <w:numPr>
          <w:ilvl w:val="0"/>
          <w:numId w:val="16"/>
        </w:numPr>
        <w:jc w:val="both"/>
      </w:pPr>
      <w:r w:rsidRPr="00123F9A">
        <w:t>Definizione e tracciamento di KPI (incidenti gestiti, tempi medi di ripristino, % formazione effettuata, disponibilità sistemi critici);</w:t>
      </w:r>
    </w:p>
    <w:p w14:paraId="672D0B99" w14:textId="77777777" w:rsidR="00123F9A" w:rsidRPr="00123F9A" w:rsidRDefault="00123F9A" w:rsidP="00123F9A">
      <w:pPr>
        <w:pStyle w:val="Paragrafoelenco"/>
        <w:numPr>
          <w:ilvl w:val="0"/>
          <w:numId w:val="16"/>
        </w:numPr>
        <w:jc w:val="both"/>
      </w:pPr>
      <w:r w:rsidRPr="00123F9A">
        <w:t>Audit interni ed esterni per verificare la conformità alle politiche e agli standard di sicurezza;</w:t>
      </w:r>
    </w:p>
    <w:p w14:paraId="4622DC73" w14:textId="77777777" w:rsidR="00123F9A" w:rsidRPr="00123F9A" w:rsidRDefault="00123F9A" w:rsidP="00123F9A">
      <w:pPr>
        <w:pStyle w:val="Paragrafoelenco"/>
        <w:numPr>
          <w:ilvl w:val="0"/>
          <w:numId w:val="16"/>
        </w:numPr>
        <w:jc w:val="both"/>
      </w:pPr>
      <w:r w:rsidRPr="00123F9A">
        <w:t>Analisi periodica delle minacce e aggiornamento delle contromisure tecniche e organizzative;</w:t>
      </w:r>
    </w:p>
    <w:p w14:paraId="427008E2" w14:textId="77777777" w:rsidR="00123F9A" w:rsidRPr="00123F9A" w:rsidRDefault="00123F9A" w:rsidP="00123F9A">
      <w:pPr>
        <w:pStyle w:val="Paragrafoelenco"/>
        <w:numPr>
          <w:ilvl w:val="0"/>
          <w:numId w:val="16"/>
        </w:numPr>
        <w:jc w:val="both"/>
      </w:pPr>
      <w:r w:rsidRPr="00123F9A">
        <w:t xml:space="preserve">Coinvolgimento attivo della Direzione e dei responsabili </w:t>
      </w:r>
      <w:r>
        <w:t>operativi</w:t>
      </w:r>
      <w:r w:rsidRPr="00123F9A">
        <w:t xml:space="preserve"> nei processi decisionali legati alla SSI.</w:t>
      </w:r>
    </w:p>
    <w:p w14:paraId="5F11AF86" w14:textId="77777777" w:rsidR="00123F9A" w:rsidRDefault="00123F9A" w:rsidP="00123F9A">
      <w:pPr>
        <w:jc w:val="both"/>
      </w:pPr>
    </w:p>
    <w:p w14:paraId="11DBE559" w14:textId="77777777" w:rsidR="00595FA3" w:rsidRDefault="00595FA3" w:rsidP="00595FA3">
      <w:pPr>
        <w:jc w:val="both"/>
      </w:pPr>
      <w:r>
        <w:rPr>
          <w:b/>
        </w:rPr>
        <w:t>Integrazione sull'uso dell'Intelligenza Artificiale (IA)</w:t>
      </w:r>
    </w:p>
    <w:p w14:paraId="3BFA3F61" w14:textId="77777777" w:rsidR="00595FA3" w:rsidRDefault="00595FA3" w:rsidP="00595FA3">
      <w:pPr>
        <w:jc w:val="both"/>
      </w:pPr>
      <w:r w:rsidRPr="00595FA3">
        <w:rPr>
          <w:b/>
          <w:bCs/>
        </w:rPr>
        <w:t>Brambati SpA</w:t>
      </w:r>
      <w:r>
        <w:t xml:space="preserve">, pur non sviluppando sistemi di Intelligenza Artificiale, ne fa uso in alcuni processi gestionali, produttivi e di supporto. Per questo motivo, l’azienda riconosce l’importanza di garantire che tali strumenti siano utilizzati in modo sicuro, responsabile e conforme alla normativa europea, in particolare al Regolamento (UE) </w:t>
      </w:r>
      <w:proofErr w:type="gramStart"/>
      <w:r>
        <w:t>AI</w:t>
      </w:r>
      <w:proofErr w:type="gramEnd"/>
      <w:r>
        <w:t xml:space="preserve"> Act e al GDPR.</w:t>
      </w:r>
    </w:p>
    <w:p w14:paraId="0A5E40FC" w14:textId="77777777" w:rsidR="00595FA3" w:rsidRDefault="00595FA3" w:rsidP="00595FA3">
      <w:pPr>
        <w:jc w:val="both"/>
      </w:pPr>
      <w:r>
        <w:t xml:space="preserve">In relazione all’utilizzo di strumenti di IA, </w:t>
      </w:r>
      <w:r w:rsidRPr="00595FA3">
        <w:rPr>
          <w:b/>
          <w:bCs/>
        </w:rPr>
        <w:t>Brambati SpA</w:t>
      </w:r>
      <w:r>
        <w:t xml:space="preserve"> si impegna a:</w:t>
      </w:r>
    </w:p>
    <w:p w14:paraId="440DB6A6" w14:textId="77777777" w:rsidR="00595FA3" w:rsidRDefault="00595FA3" w:rsidP="00595FA3">
      <w:pPr>
        <w:jc w:val="both"/>
      </w:pPr>
    </w:p>
    <w:p w14:paraId="5CEFC7BB" w14:textId="1C91C2B4" w:rsidR="00595FA3" w:rsidRDefault="00595FA3" w:rsidP="00595FA3">
      <w:pPr>
        <w:pStyle w:val="Paragrafoelenco"/>
        <w:numPr>
          <w:ilvl w:val="0"/>
          <w:numId w:val="17"/>
        </w:numPr>
        <w:jc w:val="both"/>
      </w:pPr>
      <w:r>
        <w:t>Applicare i principi fondamentali di disponibilità, integrità e confidenzialità anche ai dati e agli algoritmi utilizzati dai sistemi di IA;</w:t>
      </w:r>
    </w:p>
    <w:p w14:paraId="75CE3602" w14:textId="2873FA29" w:rsidR="00595FA3" w:rsidRDefault="00595FA3" w:rsidP="00595FA3">
      <w:pPr>
        <w:pStyle w:val="Paragrafoelenco"/>
        <w:numPr>
          <w:ilvl w:val="0"/>
          <w:numId w:val="17"/>
        </w:numPr>
        <w:jc w:val="both"/>
      </w:pPr>
      <w:r>
        <w:t xml:space="preserve">Valutare e mitigare i rischi legati a </w:t>
      </w:r>
      <w:proofErr w:type="spellStart"/>
      <w:r>
        <w:t>bias</w:t>
      </w:r>
      <w:proofErr w:type="spellEnd"/>
      <w:r>
        <w:t>, discriminazioni algoritmiche e opacità delle decisioni automatizzate;</w:t>
      </w:r>
    </w:p>
    <w:p w14:paraId="51B02822" w14:textId="77777777" w:rsidR="00595FA3" w:rsidRDefault="00595FA3" w:rsidP="00595FA3">
      <w:pPr>
        <w:pStyle w:val="Paragrafoelenco"/>
        <w:numPr>
          <w:ilvl w:val="0"/>
          <w:numId w:val="17"/>
        </w:numPr>
        <w:jc w:val="both"/>
      </w:pPr>
      <w:r>
        <w:t>Verificare la conformità dei fornitori di soluzioni IA alle normative europee e agli standard etici di settore;</w:t>
      </w:r>
    </w:p>
    <w:p w14:paraId="3CC08756" w14:textId="77777777" w:rsidR="00595FA3" w:rsidRDefault="00595FA3" w:rsidP="00595FA3">
      <w:pPr>
        <w:pStyle w:val="Paragrafoelenco"/>
        <w:numPr>
          <w:ilvl w:val="0"/>
          <w:numId w:val="17"/>
        </w:numPr>
        <w:jc w:val="both"/>
      </w:pPr>
      <w:r>
        <w:t>Garantire trasparenza e accountability nell’uso degli strumenti di IA, assicurando che le decisioni critiche non siano mai affidate esclusivamente a sistemi automatizzati;</w:t>
      </w:r>
    </w:p>
    <w:p w14:paraId="2C87BFE3" w14:textId="3858ABB8" w:rsidR="00595FA3" w:rsidRDefault="00595FA3" w:rsidP="00595FA3">
      <w:pPr>
        <w:pStyle w:val="Paragrafoelenco"/>
        <w:numPr>
          <w:ilvl w:val="0"/>
          <w:numId w:val="17"/>
        </w:numPr>
        <w:jc w:val="both"/>
      </w:pPr>
      <w:r>
        <w:t>Integrare l’IA nei processi di formazione, audit e monitoraggio della sicurezza dei sistemi informativi.</w:t>
      </w:r>
    </w:p>
    <w:p w14:paraId="3A4F5E28" w14:textId="77777777" w:rsidR="00595FA3" w:rsidRDefault="00595FA3" w:rsidP="00123F9A">
      <w:pPr>
        <w:jc w:val="both"/>
      </w:pPr>
    </w:p>
    <w:p w14:paraId="44879753" w14:textId="77777777" w:rsidR="00123F9A" w:rsidRPr="00123F9A" w:rsidRDefault="00123F9A" w:rsidP="00123F9A">
      <w:pPr>
        <w:jc w:val="both"/>
      </w:pPr>
      <w:r w:rsidRPr="00123F9A">
        <w:t xml:space="preserve">La presente Politica per la Sicurezza dei Sistemi di Informazione è diffusa a tutto il personale, resa disponibile agli stakeholder e pubblicata sul sito web aziendale. Essa rappresenta l’impegno formale di </w:t>
      </w:r>
      <w:r w:rsidRPr="00123F9A">
        <w:rPr>
          <w:b/>
          <w:bCs/>
        </w:rPr>
        <w:t>Brambati SpA</w:t>
      </w:r>
      <w:r w:rsidRPr="00123F9A">
        <w:t xml:space="preserve"> a proteggere i propri asset informativi, garantendo disponibilità, integrità e confidenzialità, e a perseguire un miglioramento continuo in materia di sicurezza informatica.</w:t>
      </w:r>
    </w:p>
    <w:p w14:paraId="20C5175B" w14:textId="77777777" w:rsidR="007B0CF9" w:rsidRDefault="007B0CF9">
      <w:pPr>
        <w:jc w:val="both"/>
      </w:pPr>
    </w:p>
    <w:p w14:paraId="0C065FA9" w14:textId="77777777" w:rsidR="007B0CF9" w:rsidRDefault="00C2486E">
      <w:pPr>
        <w:jc w:val="both"/>
      </w:pPr>
      <w:r>
        <w:tab/>
        <w:t xml:space="preserve">    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Direzione </w:t>
      </w:r>
      <w:r w:rsidR="00CB5DA3">
        <w:rPr>
          <w:b/>
          <w:bCs/>
        </w:rPr>
        <w:t>Brambati SpA</w:t>
      </w:r>
    </w:p>
    <w:p w14:paraId="69FD8FAE" w14:textId="77777777" w:rsidR="00595FA3" w:rsidRDefault="00595FA3">
      <w:pPr>
        <w:jc w:val="both"/>
      </w:pPr>
    </w:p>
    <w:p w14:paraId="24FA2B2F" w14:textId="5D24DB4A" w:rsidR="007B0CF9" w:rsidRDefault="00F13FB4">
      <w:pPr>
        <w:jc w:val="both"/>
      </w:pPr>
      <w:r>
        <w:t>Codevilla</w:t>
      </w:r>
      <w:r w:rsidR="00C2486E">
        <w:t xml:space="preserve">, </w:t>
      </w:r>
      <w:r w:rsidR="00123F9A">
        <w:t>01</w:t>
      </w:r>
      <w:r w:rsidR="00612477">
        <w:t>/</w:t>
      </w:r>
      <w:r w:rsidR="00A56649">
        <w:t>0</w:t>
      </w:r>
      <w:r w:rsidR="00123F9A">
        <w:t>9</w:t>
      </w:r>
      <w:r w:rsidR="00612477">
        <w:t>/20</w:t>
      </w:r>
      <w:r>
        <w:t>2</w:t>
      </w:r>
      <w:r w:rsidR="00123F9A">
        <w:t>5</w:t>
      </w:r>
      <w:r w:rsidR="00C2486E">
        <w:tab/>
      </w:r>
      <w:r w:rsidR="00C2486E">
        <w:tab/>
      </w:r>
      <w:r w:rsidR="00C2486E">
        <w:tab/>
      </w:r>
      <w:r w:rsidR="00C2486E">
        <w:tab/>
      </w:r>
      <w:r w:rsidR="00C2486E">
        <w:tab/>
        <w:t>………………………………….</w:t>
      </w:r>
      <w:r w:rsidR="00C2486E">
        <w:tab/>
      </w:r>
      <w:r w:rsidR="00C2486E">
        <w:tab/>
      </w:r>
      <w:r w:rsidR="00C2486E">
        <w:tab/>
      </w:r>
      <w:r w:rsidR="00C2486E">
        <w:tab/>
      </w:r>
    </w:p>
    <w:sectPr w:rsidR="007B0CF9" w:rsidSect="005F2549">
      <w:headerReference w:type="default" r:id="rId7"/>
      <w:footerReference w:type="default" r:id="rId8"/>
      <w:pgSz w:w="11906" w:h="16838"/>
      <w:pgMar w:top="1134" w:right="1134" w:bottom="1134" w:left="1134" w:header="283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5A2D" w14:textId="77777777" w:rsidR="00B07CB0" w:rsidRDefault="00B07CB0" w:rsidP="00612477">
      <w:r>
        <w:separator/>
      </w:r>
    </w:p>
  </w:endnote>
  <w:endnote w:type="continuationSeparator" w:id="0">
    <w:p w14:paraId="779E6583" w14:textId="77777777" w:rsidR="00B07CB0" w:rsidRDefault="00B07CB0" w:rsidP="006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Liberation Serif">
    <w:altName w:val="Times New Roman"/>
    <w:charset w:val="01"/>
    <w:family w:val="auto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B58D" w14:textId="42E3DD66" w:rsidR="00612477" w:rsidRPr="00612477" w:rsidRDefault="00612477">
    <w:pPr>
      <w:pStyle w:val="Pidipagina"/>
      <w:rPr>
        <w:sz w:val="16"/>
        <w:szCs w:val="16"/>
      </w:rPr>
    </w:pPr>
    <w:r w:rsidRPr="00612477">
      <w:rPr>
        <w:sz w:val="16"/>
        <w:szCs w:val="16"/>
      </w:rPr>
      <w:t xml:space="preserve">Politica </w:t>
    </w:r>
    <w:r w:rsidR="00A25743">
      <w:rPr>
        <w:sz w:val="16"/>
        <w:szCs w:val="16"/>
      </w:rPr>
      <w:t>Sicurezza dei Sistemi di Informazione</w:t>
    </w:r>
    <w:r w:rsidRPr="00612477">
      <w:rPr>
        <w:sz w:val="16"/>
        <w:szCs w:val="16"/>
      </w:rPr>
      <w:t xml:space="preserve">, rev. </w:t>
    </w:r>
    <w:r w:rsidR="00A56649">
      <w:rPr>
        <w:sz w:val="16"/>
        <w:szCs w:val="16"/>
      </w:rPr>
      <w:t>2</w:t>
    </w:r>
  </w:p>
  <w:p w14:paraId="5A52BD09" w14:textId="77777777" w:rsidR="00612477" w:rsidRDefault="006124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2A4B" w14:textId="77777777" w:rsidR="00B07CB0" w:rsidRDefault="00B07CB0" w:rsidP="00612477">
      <w:r>
        <w:separator/>
      </w:r>
    </w:p>
  </w:footnote>
  <w:footnote w:type="continuationSeparator" w:id="0">
    <w:p w14:paraId="40317BFA" w14:textId="77777777" w:rsidR="00B07CB0" w:rsidRDefault="00B07CB0" w:rsidP="0061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9886" w14:textId="3125A1EF" w:rsidR="003C3885" w:rsidRDefault="003C3885" w:rsidP="003C3885">
    <w:pPr>
      <w:pStyle w:val="Intestazione"/>
      <w:jc w:val="righ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E3E099D" wp14:editId="726796B1">
          <wp:simplePos x="0" y="0"/>
          <wp:positionH relativeFrom="rightMargin">
            <wp:align>left</wp:align>
          </wp:positionH>
          <wp:positionV relativeFrom="paragraph">
            <wp:posOffset>18415</wp:posOffset>
          </wp:positionV>
          <wp:extent cx="652765" cy="514350"/>
          <wp:effectExtent l="0" t="0" r="0" b="0"/>
          <wp:wrapNone/>
          <wp:docPr id="1130853534" name="Immagine 2" descr="Immagine che contiene logo, Carattere, Elementi grafici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853534" name="Immagine 2" descr="Immagine che contiene logo, Carattere, Elementi grafici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6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DF5AF42" wp14:editId="32A41FCF">
          <wp:extent cx="2237740" cy="323215"/>
          <wp:effectExtent l="0" t="0" r="0" b="635"/>
          <wp:docPr id="168524220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E28B5D" w14:textId="46FC343B" w:rsidR="005F2549" w:rsidRDefault="005F25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A8A"/>
    <w:multiLevelType w:val="hybridMultilevel"/>
    <w:tmpl w:val="B590DC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71F3D"/>
    <w:multiLevelType w:val="hybridMultilevel"/>
    <w:tmpl w:val="0DC23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AD3"/>
    <w:multiLevelType w:val="hybridMultilevel"/>
    <w:tmpl w:val="AD68E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71FD"/>
    <w:multiLevelType w:val="multilevel"/>
    <w:tmpl w:val="83CC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ADE6CBB"/>
    <w:multiLevelType w:val="hybridMultilevel"/>
    <w:tmpl w:val="1BF87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70A65"/>
    <w:multiLevelType w:val="hybridMultilevel"/>
    <w:tmpl w:val="02E0C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399F"/>
    <w:multiLevelType w:val="hybridMultilevel"/>
    <w:tmpl w:val="AB80B9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26EC0"/>
    <w:multiLevelType w:val="multilevel"/>
    <w:tmpl w:val="2F00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70A4554"/>
    <w:multiLevelType w:val="hybridMultilevel"/>
    <w:tmpl w:val="B10EF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06D0E"/>
    <w:multiLevelType w:val="hybridMultilevel"/>
    <w:tmpl w:val="5D2863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D2FBA"/>
    <w:multiLevelType w:val="hybridMultilevel"/>
    <w:tmpl w:val="8BFA9876"/>
    <w:lvl w:ilvl="0" w:tplc="05B2EF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31036"/>
    <w:multiLevelType w:val="hybridMultilevel"/>
    <w:tmpl w:val="3CE0E6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84DF3"/>
    <w:multiLevelType w:val="multilevel"/>
    <w:tmpl w:val="42287D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709313C"/>
    <w:multiLevelType w:val="hybridMultilevel"/>
    <w:tmpl w:val="03426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60918"/>
    <w:multiLevelType w:val="multilevel"/>
    <w:tmpl w:val="0CEC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7536789F"/>
    <w:multiLevelType w:val="hybridMultilevel"/>
    <w:tmpl w:val="8BB8A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24F74"/>
    <w:multiLevelType w:val="hybridMultilevel"/>
    <w:tmpl w:val="1648122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4815850">
    <w:abstractNumId w:val="14"/>
  </w:num>
  <w:num w:numId="2" w16cid:durableId="2078629187">
    <w:abstractNumId w:val="7"/>
  </w:num>
  <w:num w:numId="3" w16cid:durableId="1797599934">
    <w:abstractNumId w:val="3"/>
  </w:num>
  <w:num w:numId="4" w16cid:durableId="1535389670">
    <w:abstractNumId w:val="12"/>
  </w:num>
  <w:num w:numId="5" w16cid:durableId="938105880">
    <w:abstractNumId w:val="9"/>
  </w:num>
  <w:num w:numId="6" w16cid:durableId="1917127335">
    <w:abstractNumId w:val="16"/>
  </w:num>
  <w:num w:numId="7" w16cid:durableId="65882416">
    <w:abstractNumId w:val="10"/>
  </w:num>
  <w:num w:numId="8" w16cid:durableId="378286850">
    <w:abstractNumId w:val="1"/>
  </w:num>
  <w:num w:numId="9" w16cid:durableId="1270773041">
    <w:abstractNumId w:val="11"/>
  </w:num>
  <w:num w:numId="10" w16cid:durableId="1836187816">
    <w:abstractNumId w:val="6"/>
  </w:num>
  <w:num w:numId="11" w16cid:durableId="1941139181">
    <w:abstractNumId w:val="13"/>
  </w:num>
  <w:num w:numId="12" w16cid:durableId="96214595">
    <w:abstractNumId w:val="8"/>
  </w:num>
  <w:num w:numId="13" w16cid:durableId="2040887284">
    <w:abstractNumId w:val="4"/>
  </w:num>
  <w:num w:numId="14" w16cid:durableId="1994336158">
    <w:abstractNumId w:val="5"/>
  </w:num>
  <w:num w:numId="15" w16cid:durableId="1094740735">
    <w:abstractNumId w:val="15"/>
  </w:num>
  <w:num w:numId="16" w16cid:durableId="43992825">
    <w:abstractNumId w:val="0"/>
  </w:num>
  <w:num w:numId="17" w16cid:durableId="140077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F9"/>
    <w:rsid w:val="00016087"/>
    <w:rsid w:val="0007229C"/>
    <w:rsid w:val="000A4BC4"/>
    <w:rsid w:val="000B54DB"/>
    <w:rsid w:val="000D6C21"/>
    <w:rsid w:val="000F3C2E"/>
    <w:rsid w:val="00102C61"/>
    <w:rsid w:val="00123F9A"/>
    <w:rsid w:val="00124F48"/>
    <w:rsid w:val="001D731D"/>
    <w:rsid w:val="00275247"/>
    <w:rsid w:val="003C3885"/>
    <w:rsid w:val="004777E3"/>
    <w:rsid w:val="00542F52"/>
    <w:rsid w:val="00595FA3"/>
    <w:rsid w:val="005F2549"/>
    <w:rsid w:val="00612477"/>
    <w:rsid w:val="006C1E44"/>
    <w:rsid w:val="007B0CF9"/>
    <w:rsid w:val="007E324A"/>
    <w:rsid w:val="008715D6"/>
    <w:rsid w:val="00A25743"/>
    <w:rsid w:val="00A56649"/>
    <w:rsid w:val="00AD4403"/>
    <w:rsid w:val="00B07CB0"/>
    <w:rsid w:val="00B30951"/>
    <w:rsid w:val="00BC3778"/>
    <w:rsid w:val="00C2486E"/>
    <w:rsid w:val="00CB5DA3"/>
    <w:rsid w:val="00DE6EAC"/>
    <w:rsid w:val="00F13FB4"/>
    <w:rsid w:val="00F3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227D0"/>
  <w15:docId w15:val="{13D50A7A-533E-424C-B8EC-DFB32C0D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Predefinito"/>
    <w:qFormat/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Predefinito">
    <w:name w:val="Predefinito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Oggettoconpuntadifreccia">
    <w:name w:val="Oggetto con punta di freccia"/>
    <w:basedOn w:val="Predefinito"/>
    <w:qFormat/>
  </w:style>
  <w:style w:type="paragraph" w:customStyle="1" w:styleId="Oggettoconombra">
    <w:name w:val="Oggetto con ombra"/>
    <w:basedOn w:val="Predefinito"/>
    <w:qFormat/>
  </w:style>
  <w:style w:type="paragraph" w:customStyle="1" w:styleId="Oggettosenzariempimento">
    <w:name w:val="Oggetto senza riempimento"/>
    <w:basedOn w:val="Predefinito"/>
    <w:qFormat/>
  </w:style>
  <w:style w:type="paragraph" w:customStyle="1" w:styleId="Oggettosenzariempimentoelinee">
    <w:name w:val="Oggetto senza riempimento e linee"/>
    <w:basedOn w:val="Predefinito"/>
    <w:qFormat/>
  </w:style>
  <w:style w:type="paragraph" w:customStyle="1" w:styleId="Corpotestogiustificato">
    <w:name w:val="Corpo testo giustificato"/>
    <w:basedOn w:val="Predefinito"/>
    <w:qFormat/>
  </w:style>
  <w:style w:type="paragraph" w:customStyle="1" w:styleId="Titolo1">
    <w:name w:val="Titolo1"/>
    <w:basedOn w:val="Predefinito"/>
    <w:qFormat/>
    <w:pPr>
      <w:jc w:val="center"/>
    </w:pPr>
  </w:style>
  <w:style w:type="paragraph" w:customStyle="1" w:styleId="Titolo2">
    <w:name w:val="Titolo2"/>
    <w:basedOn w:val="Predefinito"/>
    <w:qFormat/>
    <w:pPr>
      <w:spacing w:before="57" w:after="57"/>
      <w:ind w:right="113"/>
      <w:jc w:val="center"/>
    </w:pPr>
  </w:style>
  <w:style w:type="paragraph" w:customStyle="1" w:styleId="Intestazione1">
    <w:name w:val="Intestazione1"/>
    <w:basedOn w:val="Predefinito"/>
    <w:qFormat/>
    <w:pPr>
      <w:spacing w:before="238" w:after="119"/>
    </w:pPr>
  </w:style>
  <w:style w:type="paragraph" w:customStyle="1" w:styleId="Intestazione2">
    <w:name w:val="Intestazione2"/>
    <w:basedOn w:val="Predefinito"/>
    <w:qFormat/>
    <w:pPr>
      <w:spacing w:before="238" w:after="119"/>
    </w:pPr>
  </w:style>
  <w:style w:type="paragraph" w:customStyle="1" w:styleId="Lineadiquotatura">
    <w:name w:val="Linea di quotatura"/>
    <w:basedOn w:val="Predefinito"/>
    <w:qFormat/>
  </w:style>
  <w:style w:type="paragraph" w:customStyle="1" w:styleId="TitleSlideLTGliederung1">
    <w:name w:val="Title Slide~LT~Gliederung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FreeSans" w:eastAsia="DejaVu Sans" w:hAnsi="FreeSans" w:cs="Liberation Sans"/>
      <w:color w:val="000000"/>
      <w:sz w:val="88"/>
    </w:rPr>
  </w:style>
  <w:style w:type="paragraph" w:customStyle="1" w:styleId="TitleSlideLTUntertitel">
    <w:name w:val="Title Slide~LT~Untertitel"/>
    <w:qFormat/>
    <w:pPr>
      <w:jc w:val="center"/>
    </w:pPr>
    <w:rPr>
      <w:rFonts w:ascii="FreeSans" w:eastAsia="DejaVu Sans" w:hAnsi="FreeSans" w:cs="Liberation Sans"/>
      <w:color w:val="000000"/>
      <w:sz w:val="6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TitleSlideLTHintergrundobjekte">
    <w:name w:val="Title Slide~LT~Hintergrundobjekte"/>
    <w:qFormat/>
    <w:rPr>
      <w:rFonts w:eastAsia="DejaVu Sans" w:cs="Liberation Sans"/>
    </w:rPr>
  </w:style>
  <w:style w:type="paragraph" w:customStyle="1" w:styleId="TitleSlideLTHintergrund">
    <w:name w:val="Title Slide~LT~Hintergrund"/>
    <w:qFormat/>
    <w:rPr>
      <w:rFonts w:eastAsia="DejaVu Sans" w:cs="Liberation Sans"/>
    </w:rPr>
  </w:style>
  <w:style w:type="paragraph" w:customStyle="1" w:styleId="default">
    <w:name w:val="default"/>
    <w:qFormat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ggettidisfondo">
    <w:name w:val="Oggetti di sfondo"/>
    <w:qFormat/>
    <w:rPr>
      <w:rFonts w:eastAsia="DejaVu Sans" w:cs="Liberation Sans"/>
    </w:rPr>
  </w:style>
  <w:style w:type="paragraph" w:customStyle="1" w:styleId="Sfondo">
    <w:name w:val="Sfondo"/>
    <w:qFormat/>
    <w:rPr>
      <w:rFonts w:eastAsia="DejaVu Sans" w:cs="Liberation Sans"/>
    </w:rPr>
  </w:style>
  <w:style w:type="paragraph" w:customStyle="1" w:styleId="Note">
    <w:name w:val="Note"/>
    <w:qFormat/>
    <w:pPr>
      <w:ind w:left="340" w:hanging="340"/>
    </w:pPr>
    <w:rPr>
      <w:rFonts w:ascii="FreeSans" w:eastAsia="DejaVu Sans" w:hAnsi="FreeSans" w:cs="Liberation Sans"/>
      <w:color w:val="000000"/>
      <w:sz w:val="40"/>
    </w:rPr>
  </w:style>
  <w:style w:type="paragraph" w:customStyle="1" w:styleId="Struttura1">
    <w:name w:val="Struttura 1"/>
    <w:qFormat/>
    <w:pPr>
      <w:spacing w:before="283"/>
    </w:pPr>
    <w:rPr>
      <w:rFonts w:ascii="FreeSans" w:eastAsia="DejaVu Sans" w:hAnsi="FreeSans" w:cs="Liberation Sans"/>
      <w:color w:val="000000"/>
      <w:sz w:val="63"/>
    </w:rPr>
  </w:style>
  <w:style w:type="paragraph" w:customStyle="1" w:styleId="Struttura2">
    <w:name w:val="Struttura 2"/>
    <w:basedOn w:val="Struttura1"/>
    <w:qFormat/>
    <w:pPr>
      <w:spacing w:before="227"/>
    </w:pPr>
    <w:rPr>
      <w:sz w:val="56"/>
    </w:rPr>
  </w:style>
  <w:style w:type="paragraph" w:customStyle="1" w:styleId="Struttura3">
    <w:name w:val="Struttura 3"/>
    <w:basedOn w:val="Struttura2"/>
    <w:qFormat/>
    <w:pPr>
      <w:spacing w:before="170"/>
    </w:pPr>
    <w:rPr>
      <w:sz w:val="48"/>
    </w:rPr>
  </w:style>
  <w:style w:type="paragraph" w:customStyle="1" w:styleId="Struttura4">
    <w:name w:val="Struttura 4"/>
    <w:basedOn w:val="Struttura3"/>
    <w:qFormat/>
    <w:pPr>
      <w:spacing w:before="113"/>
    </w:pPr>
    <w:rPr>
      <w:sz w:val="40"/>
    </w:rPr>
  </w:style>
  <w:style w:type="paragraph" w:customStyle="1" w:styleId="Struttura5">
    <w:name w:val="Struttura 5"/>
    <w:basedOn w:val="Struttura4"/>
    <w:qFormat/>
    <w:pPr>
      <w:spacing w:before="57"/>
    </w:pPr>
  </w:style>
  <w:style w:type="paragraph" w:customStyle="1" w:styleId="Struttura6">
    <w:name w:val="Struttura 6"/>
    <w:basedOn w:val="Struttura5"/>
    <w:qFormat/>
  </w:style>
  <w:style w:type="paragraph" w:customStyle="1" w:styleId="Struttura7">
    <w:name w:val="Struttura 7"/>
    <w:basedOn w:val="Struttura6"/>
    <w:qFormat/>
  </w:style>
  <w:style w:type="paragraph" w:customStyle="1" w:styleId="Struttura8">
    <w:name w:val="Struttura 8"/>
    <w:basedOn w:val="Struttura7"/>
    <w:qFormat/>
  </w:style>
  <w:style w:type="paragraph" w:customStyle="1" w:styleId="Struttura9">
    <w:name w:val="Struttura 9"/>
    <w:basedOn w:val="Struttura8"/>
    <w:qFormat/>
  </w:style>
  <w:style w:type="paragraph" w:styleId="Intestazione">
    <w:name w:val="header"/>
    <w:basedOn w:val="Normale"/>
    <w:link w:val="Intestazione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247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6124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4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A2574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</dc:creator>
  <dc:description/>
  <cp:lastModifiedBy>Export Commerciale - Brambati Spa</cp:lastModifiedBy>
  <cp:revision>2</cp:revision>
  <dcterms:created xsi:type="dcterms:W3CDTF">2025-09-16T13:51:00Z</dcterms:created>
  <dcterms:modified xsi:type="dcterms:W3CDTF">2025-09-16T13:51:00Z</dcterms:modified>
  <dc:language>it-IT</dc:language>
</cp:coreProperties>
</file>