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9DB2" w14:textId="77777777" w:rsidR="007B0CF9" w:rsidRDefault="007B0CF9">
      <w:pPr>
        <w:jc w:val="center"/>
      </w:pPr>
    </w:p>
    <w:p w14:paraId="2DDDBD83" w14:textId="77777777" w:rsidR="007B0CF9" w:rsidRPr="00366954" w:rsidRDefault="00000000">
      <w:pPr>
        <w:jc w:val="center"/>
        <w:rPr>
          <w:b/>
          <w:bCs/>
          <w:lang w:val="fr-FR"/>
        </w:rPr>
      </w:pPr>
      <w:r>
        <w:rPr>
          <w:rFonts w:eastAsia="Liberation Serif"/>
          <w:b/>
          <w:bCs/>
          <w:lang w:val="fr-FR"/>
        </w:rPr>
        <w:t>POLITIQUE DE QUALITÉ</w:t>
      </w:r>
    </w:p>
    <w:p w14:paraId="2EBC0A35" w14:textId="77777777" w:rsidR="007B0CF9" w:rsidRPr="00366954" w:rsidRDefault="007B0CF9">
      <w:pPr>
        <w:jc w:val="center"/>
        <w:rPr>
          <w:lang w:val="fr-FR"/>
        </w:rPr>
      </w:pPr>
    </w:p>
    <w:p w14:paraId="7EE04EE5" w14:textId="77777777" w:rsidR="007B0CF9" w:rsidRPr="00366954" w:rsidRDefault="007B0CF9">
      <w:pPr>
        <w:jc w:val="center"/>
        <w:rPr>
          <w:lang w:val="fr-FR"/>
        </w:rPr>
      </w:pPr>
    </w:p>
    <w:p w14:paraId="7E3F9781" w14:textId="77777777" w:rsidR="005F2549" w:rsidRPr="00366954" w:rsidRDefault="005F2549" w:rsidP="005F2549">
      <w:pPr>
        <w:jc w:val="both"/>
        <w:rPr>
          <w:lang w:val="fr-FR"/>
        </w:rPr>
      </w:pPr>
    </w:p>
    <w:p w14:paraId="68A43ADA" w14:textId="77777777" w:rsidR="00AB2089" w:rsidRPr="00366954" w:rsidRDefault="00000000" w:rsidP="00AB2089">
      <w:pPr>
        <w:jc w:val="both"/>
        <w:rPr>
          <w:lang w:val="fr-FR"/>
        </w:rPr>
      </w:pPr>
      <w:r>
        <w:rPr>
          <w:rFonts w:eastAsia="Liberation Serif"/>
          <w:bCs/>
          <w:lang w:val="fr-FR"/>
        </w:rPr>
        <w:t xml:space="preserve">La société </w:t>
      </w:r>
      <w:r>
        <w:rPr>
          <w:rFonts w:eastAsia="Liberation Serif"/>
          <w:b/>
          <w:bCs/>
          <w:lang w:val="fr-FR"/>
        </w:rPr>
        <w:t xml:space="preserve">Brambati </w:t>
      </w:r>
      <w:proofErr w:type="spellStart"/>
      <w:r>
        <w:rPr>
          <w:rFonts w:eastAsia="Liberation Serif"/>
          <w:b/>
          <w:bCs/>
          <w:lang w:val="fr-FR"/>
        </w:rPr>
        <w:t>SpA</w:t>
      </w:r>
      <w:proofErr w:type="spellEnd"/>
      <w:r>
        <w:rPr>
          <w:rFonts w:eastAsia="Liberation Serif"/>
          <w:lang w:val="fr-FR"/>
        </w:rPr>
        <w:t xml:space="preserve"> affiche une histoire de plus de 80 ans dans le secteur alimentaire et en particulier dans les industries de la pâtisserie-confiserie, biscuiterie, boulangerie, pâtes alimentaires, aliments pour bébés et dans l’industrie du café. Grâce aux recherches et aux innovations constantes appliquées aux différentes installations conçues et construites au cours de ces 75 dernières années, la société a acquis une grande expérience dans les différents secteurs de l’industrie alimentaire, ce qui a permis au Groupe de se placer parmi les plus grands Leaders mondiaux du secteur.</w:t>
      </w:r>
    </w:p>
    <w:p w14:paraId="7F72BB4C" w14:textId="77777777" w:rsidR="00AB2089" w:rsidRPr="00366954" w:rsidRDefault="00AB2089" w:rsidP="00AB2089">
      <w:pPr>
        <w:jc w:val="both"/>
        <w:rPr>
          <w:lang w:val="fr-FR"/>
        </w:rPr>
      </w:pPr>
    </w:p>
    <w:p w14:paraId="6F884758" w14:textId="77777777" w:rsidR="00AB2089" w:rsidRPr="00366954" w:rsidRDefault="00000000" w:rsidP="00AB2089">
      <w:pPr>
        <w:jc w:val="both"/>
        <w:rPr>
          <w:lang w:val="fr-FR"/>
        </w:rPr>
      </w:pPr>
      <w:r>
        <w:rPr>
          <w:rFonts w:eastAsia="Liberation Serif"/>
          <w:lang w:val="fr-FR"/>
        </w:rPr>
        <w:t xml:space="preserve">L’utilisation des nouvelles technologies a permis à la société </w:t>
      </w:r>
      <w:r>
        <w:rPr>
          <w:rFonts w:eastAsia="Liberation Serif"/>
          <w:b/>
          <w:bCs/>
          <w:lang w:val="fr-FR"/>
        </w:rPr>
        <w:t>Brambati SpA</w:t>
      </w:r>
      <w:r>
        <w:rPr>
          <w:rFonts w:eastAsia="Liberation Serif"/>
          <w:lang w:val="fr-FR"/>
        </w:rPr>
        <w:t xml:space="preserve"> d’être toujours à l’avant-garde aussi bien pour la conception des machines que pour le contrôle et la commande des installations, à travers des systèmes automatisés qui permettent d’obtenir, en temps réel, le contrôle de la production et du stockage des matières premières et du produit fini et, par conséquent, de la traçabilité ; tout cela en tenant compte des exigences normatives et des attentes des parties prenantes en matière de qualité, de sécurité, d’hygiène de l’environnement et d’émissions dans l’atmosphère.</w:t>
      </w:r>
    </w:p>
    <w:p w14:paraId="5A25FB2B" w14:textId="77777777" w:rsidR="00AB2089" w:rsidRPr="00366954" w:rsidRDefault="00AB2089" w:rsidP="00AB2089">
      <w:pPr>
        <w:jc w:val="both"/>
        <w:rPr>
          <w:lang w:val="fr-FR"/>
        </w:rPr>
      </w:pPr>
    </w:p>
    <w:p w14:paraId="7E2198BA" w14:textId="77777777" w:rsidR="00AB2089" w:rsidRPr="00366954" w:rsidRDefault="00000000" w:rsidP="00AB2089">
      <w:pPr>
        <w:jc w:val="both"/>
        <w:rPr>
          <w:lang w:val="fr-FR"/>
        </w:rPr>
      </w:pPr>
      <w:r>
        <w:rPr>
          <w:rFonts w:eastAsia="Liberation Serif"/>
          <w:lang w:val="fr-FR"/>
        </w:rPr>
        <w:t xml:space="preserve">Aujourd’hui, la société </w:t>
      </w:r>
      <w:r>
        <w:rPr>
          <w:rFonts w:eastAsia="Liberation Serif"/>
          <w:b/>
          <w:bCs/>
          <w:lang w:val="fr-FR"/>
        </w:rPr>
        <w:t>Brambati SpA</w:t>
      </w:r>
      <w:r>
        <w:rPr>
          <w:rFonts w:eastAsia="Liberation Serif"/>
          <w:lang w:val="fr-FR"/>
        </w:rPr>
        <w:t xml:space="preserve"> conçoit et construit des installations « clés en main » équipées de systèmes de contrôle et d’automatisation en mesure de satisfaire pleinement les demandes du Client grâce à des solutions visant une gestion simple et optimale.</w:t>
      </w:r>
    </w:p>
    <w:p w14:paraId="69ED1E4A" w14:textId="77777777" w:rsidR="00AB2089" w:rsidRPr="00366954" w:rsidRDefault="00AB2089" w:rsidP="00AB2089">
      <w:pPr>
        <w:jc w:val="both"/>
        <w:rPr>
          <w:lang w:val="fr-FR"/>
        </w:rPr>
      </w:pPr>
    </w:p>
    <w:p w14:paraId="48AFED80" w14:textId="77777777" w:rsidR="00AB2089" w:rsidRPr="00366954" w:rsidRDefault="00000000" w:rsidP="00AB2089">
      <w:pPr>
        <w:jc w:val="both"/>
        <w:rPr>
          <w:lang w:val="fr-FR"/>
        </w:rPr>
      </w:pPr>
      <w:r>
        <w:rPr>
          <w:rFonts w:eastAsia="Liberation Serif"/>
          <w:lang w:val="fr-FR"/>
        </w:rPr>
        <w:t xml:space="preserve">Avec son adhésion au Pacte mondial des Nations Unies en 2020, la société </w:t>
      </w:r>
      <w:r>
        <w:rPr>
          <w:rFonts w:eastAsia="Liberation Serif"/>
          <w:b/>
          <w:bCs/>
          <w:lang w:val="fr-FR"/>
        </w:rPr>
        <w:t>Brambati SpA</w:t>
      </w:r>
      <w:r>
        <w:rPr>
          <w:rFonts w:eastAsia="Liberation Serif"/>
          <w:lang w:val="fr-FR"/>
        </w:rPr>
        <w:t xml:space="preserve"> a entamé un parcours visant à mettre à évidence la durabilité sous toutes ses dimensions (économique, sociale et environnementale), qui a obtenu des prix spécifiques de la part des organismes internationaux (Ecovadis, Smeta, Cribis, Industria Felix, etc.).</w:t>
      </w:r>
    </w:p>
    <w:p w14:paraId="20372191" w14:textId="77777777" w:rsidR="00AB2089" w:rsidRPr="00366954" w:rsidRDefault="00AB2089" w:rsidP="00AB2089">
      <w:pPr>
        <w:jc w:val="both"/>
        <w:rPr>
          <w:lang w:val="fr-FR"/>
        </w:rPr>
      </w:pPr>
    </w:p>
    <w:p w14:paraId="7E0F77E3" w14:textId="77777777" w:rsidR="00AB2089" w:rsidRPr="00366954" w:rsidRDefault="00000000" w:rsidP="00AB2089">
      <w:pPr>
        <w:jc w:val="both"/>
        <w:rPr>
          <w:lang w:val="fr-FR"/>
        </w:rPr>
      </w:pPr>
      <w:r>
        <w:rPr>
          <w:rFonts w:eastAsia="Liberation Serif"/>
          <w:lang w:val="fr-FR"/>
        </w:rPr>
        <w:t xml:space="preserve">Le Système de Gestion de la Qualité Intégré (SGQI) de la société </w:t>
      </w:r>
      <w:r>
        <w:rPr>
          <w:rFonts w:eastAsia="Liberation Serif"/>
          <w:b/>
          <w:bCs/>
          <w:lang w:val="fr-FR"/>
        </w:rPr>
        <w:t>Brambati SpA</w:t>
      </w:r>
      <w:r>
        <w:rPr>
          <w:rFonts w:eastAsia="Liberation Serif"/>
          <w:lang w:val="fr-FR"/>
        </w:rPr>
        <w:t xml:space="preserve">, conforme aux normes UNI EN ISO </w:t>
      </w:r>
      <w:proofErr w:type="gramStart"/>
      <w:r>
        <w:rPr>
          <w:rFonts w:eastAsia="Liberation Serif"/>
          <w:lang w:val="fr-FR"/>
        </w:rPr>
        <w:t>9001:</w:t>
      </w:r>
      <w:proofErr w:type="gramEnd"/>
      <w:r>
        <w:rPr>
          <w:rFonts w:eastAsia="Liberation Serif"/>
          <w:lang w:val="fr-FR"/>
        </w:rPr>
        <w:t xml:space="preserve">2015 et UNI EN ISO </w:t>
      </w:r>
      <w:proofErr w:type="gramStart"/>
      <w:r>
        <w:rPr>
          <w:rFonts w:eastAsia="Liberation Serif"/>
          <w:lang w:val="fr-FR"/>
        </w:rPr>
        <w:t>14001:</w:t>
      </w:r>
      <w:proofErr w:type="gramEnd"/>
      <w:r>
        <w:rPr>
          <w:rFonts w:eastAsia="Liberation Serif"/>
          <w:lang w:val="fr-FR"/>
        </w:rPr>
        <w:t>2015, a pour objectif de stabiliser et d’accroître l’influence positive de ces facteurs afin de :</w:t>
      </w:r>
    </w:p>
    <w:p w14:paraId="327732DB" w14:textId="77777777" w:rsidR="00AB2089" w:rsidRPr="00366954" w:rsidRDefault="00AB2089" w:rsidP="00AB2089">
      <w:pPr>
        <w:jc w:val="both"/>
        <w:rPr>
          <w:lang w:val="fr-FR"/>
        </w:rPr>
      </w:pPr>
    </w:p>
    <w:p w14:paraId="21E6CAE9"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Maintenir et augmenter la satisfaction des Clients ;</w:t>
      </w:r>
    </w:p>
    <w:p w14:paraId="2E030DD5"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Garantir des niveaux de qualité croissants et des performances toujours meilleures ;</w:t>
      </w:r>
    </w:p>
    <w:p w14:paraId="46367F44"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Assurer une approche orientée vers la prévention des problèmes et l’amélioration continue des processus ;</w:t>
      </w:r>
    </w:p>
    <w:p w14:paraId="33BD3A35"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Gérer minutieusement toute non-conformité, dénonciation ou réclamation ;</w:t>
      </w:r>
    </w:p>
    <w:p w14:paraId="7D6EC94F"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Suivre le système de gestion de la qualité par des audits internes ;</w:t>
      </w:r>
    </w:p>
    <w:p w14:paraId="1E2DD589"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Améliorer continuellement le système de gestion de la qualité ;</w:t>
      </w:r>
    </w:p>
    <w:p w14:paraId="5F65A9BB"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Prendre en compte les implications et les impacts du changement climatique sur les parties prenantes et adopter des mesures d’atténuation appropriées pour réduire leurs effets ;</w:t>
      </w:r>
    </w:p>
    <w:p w14:paraId="5A2D5747"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Mettre à disposition les ressources (le personnel et les infrastructures) nécessaires au déroulement correct des activités ;</w:t>
      </w:r>
    </w:p>
    <w:p w14:paraId="187A31A9"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Concentrer les compétences, les énergies et la motivation des personnes autour d’une gestion de la qualité apportant également des avantages professionnels tangibles ;</w:t>
      </w:r>
    </w:p>
    <w:p w14:paraId="22CFE555"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Effectuer l’approvisionnement en biens et services nécessaires auprès de fournisseurs et collaborateurs qualifiés ;</w:t>
      </w:r>
    </w:p>
    <w:p w14:paraId="1C9DA58E" w14:textId="77777777" w:rsidR="00AB2089" w:rsidRPr="00366954" w:rsidRDefault="00000000" w:rsidP="00AB2089">
      <w:pPr>
        <w:pStyle w:val="Paragrafoelenco"/>
        <w:numPr>
          <w:ilvl w:val="0"/>
          <w:numId w:val="6"/>
        </w:numPr>
        <w:jc w:val="both"/>
        <w:rPr>
          <w:lang w:val="fr-FR"/>
        </w:rPr>
      </w:pPr>
      <w:r>
        <w:rPr>
          <w:rFonts w:eastAsia="Liberation Serif"/>
          <w:szCs w:val="24"/>
          <w:lang w:val="fr-FR"/>
        </w:rPr>
        <w:t>Garantir un contrôle continu et constant ainsi qu’un suivi du contexte, des parties prenantes, des risques et des opportunités liés à ses propres processus.</w:t>
      </w:r>
    </w:p>
    <w:p w14:paraId="66E4EA7C" w14:textId="77777777" w:rsidR="00AB2089" w:rsidRPr="00366954" w:rsidRDefault="00AB2089" w:rsidP="00AB2089">
      <w:pPr>
        <w:jc w:val="both"/>
        <w:rPr>
          <w:lang w:val="fr-FR"/>
        </w:rPr>
      </w:pPr>
    </w:p>
    <w:p w14:paraId="77049632" w14:textId="77777777" w:rsidR="00AB2089" w:rsidRPr="00366954" w:rsidRDefault="00000000" w:rsidP="00AB2089">
      <w:pPr>
        <w:jc w:val="both"/>
        <w:rPr>
          <w:lang w:val="fr-FR"/>
        </w:rPr>
      </w:pPr>
      <w:r>
        <w:rPr>
          <w:rFonts w:eastAsia="Liberation Serif"/>
          <w:b/>
          <w:bCs/>
          <w:lang w:val="fr-FR"/>
        </w:rPr>
        <w:t>Brambati SpA</w:t>
      </w:r>
      <w:r>
        <w:rPr>
          <w:rFonts w:eastAsia="Liberation Serif"/>
          <w:lang w:val="fr-FR"/>
        </w:rPr>
        <w:t xml:space="preserve"> reconnaît également que le changement climatique est un facteur important qui peut avoir un impact sur la qualité des processus et des produits, la continuité de la production et la </w:t>
      </w:r>
      <w:r>
        <w:rPr>
          <w:rFonts w:eastAsia="Liberation Serif"/>
          <w:lang w:val="fr-FR"/>
        </w:rPr>
        <w:lastRenderedPageBreak/>
        <w:t>satisfaction des clients. C’est la raison pour laquelle la Politique Qualité est intégrée aux résultats de l’Analyse des Risques et des Opportunités liés au changement climatique. La Direction s’engage à planifier des mesures de prévention et d’adaptation et à renforcer les opportunités liées à l’amélioration des performances, à la résilience organisationnelle et à la confiance des parties prenantes. Ces éléments sont périodiquement revus et intégrés dans la planification des objectifs de l’entreprise.</w:t>
      </w:r>
    </w:p>
    <w:p w14:paraId="060305BC" w14:textId="77777777" w:rsidR="00AB2089" w:rsidRPr="00366954" w:rsidRDefault="00AB2089" w:rsidP="00AB2089">
      <w:pPr>
        <w:jc w:val="both"/>
        <w:rPr>
          <w:lang w:val="fr-FR"/>
        </w:rPr>
      </w:pPr>
    </w:p>
    <w:p w14:paraId="3CFFC3A8" w14:textId="77777777" w:rsidR="00AB2089" w:rsidRPr="00366954" w:rsidRDefault="00000000" w:rsidP="00AB2089">
      <w:pPr>
        <w:jc w:val="both"/>
        <w:rPr>
          <w:lang w:val="fr-FR"/>
        </w:rPr>
      </w:pPr>
      <w:r>
        <w:rPr>
          <w:rFonts w:eastAsia="Liberation Serif"/>
          <w:lang w:val="fr-FR"/>
        </w:rPr>
        <w:t>Les Politiques et le SGQI sont réexaminés régulièrement et font l’objet, le cas échéant, d’analyses spécifiques et ciblées de la part de la Direction. La Direction s’engage à fournir toute l’aide requise pour la gestion et l’amélioration continue de la Qualité à travers le respect des exigences réglementaires applicables, la définition, la surveillance et la vérification de l’atteinte des objectifs de l’entreprise, et l’organisation et la gestion des activités et des ressources.</w:t>
      </w:r>
    </w:p>
    <w:p w14:paraId="3B01CD03" w14:textId="77777777" w:rsidR="00AB2089" w:rsidRPr="00366954" w:rsidRDefault="00AB2089" w:rsidP="00AB2089">
      <w:pPr>
        <w:jc w:val="both"/>
        <w:rPr>
          <w:lang w:val="fr-FR"/>
        </w:rPr>
      </w:pPr>
    </w:p>
    <w:p w14:paraId="4F22C2C8" w14:textId="77777777" w:rsidR="007B0CF9" w:rsidRPr="00366954" w:rsidRDefault="00000000" w:rsidP="00AB2089">
      <w:pPr>
        <w:jc w:val="both"/>
        <w:rPr>
          <w:lang w:val="fr-FR"/>
        </w:rPr>
      </w:pPr>
      <w:r>
        <w:rPr>
          <w:rFonts w:eastAsia="Liberation Serif"/>
          <w:lang w:val="fr-FR"/>
        </w:rPr>
        <w:t xml:space="preserve">Tous les niveaux organisationnels sont impliqués, motivés et responsabilisés quant au respect des exigences du SGQI et à l’atteinte des niveaux de Qualité prévus. Cela implique non seulement de répondre sans délai à tous les dysfonctionnements, réclamations et non-conformités signalés à la société </w:t>
      </w:r>
      <w:r>
        <w:rPr>
          <w:rFonts w:eastAsia="Liberation Serif"/>
          <w:b/>
          <w:bCs/>
          <w:lang w:val="fr-FR"/>
        </w:rPr>
        <w:t>Brambati SpA</w:t>
      </w:r>
      <w:r>
        <w:rPr>
          <w:rFonts w:eastAsia="Liberation Serif"/>
          <w:lang w:val="fr-FR"/>
        </w:rPr>
        <w:t xml:space="preserve"> par les clients et parties prenantes, mais aussi d’intervenir de manière pro-active, même en l’absence d’indications provenant de l’extérieur, dans les cas que l’organisation de la société </w:t>
      </w:r>
      <w:r>
        <w:rPr>
          <w:rFonts w:eastAsia="Liberation Serif"/>
          <w:b/>
          <w:bCs/>
          <w:lang w:val="fr-FR"/>
        </w:rPr>
        <w:t xml:space="preserve">Brambati SpA </w:t>
      </w:r>
      <w:r>
        <w:rPr>
          <w:rFonts w:eastAsia="Liberation Serif"/>
          <w:lang w:val="fr-FR"/>
        </w:rPr>
        <w:t>a estimés comme non-conformes au SGQI.</w:t>
      </w:r>
    </w:p>
    <w:p w14:paraId="03975292" w14:textId="77777777" w:rsidR="007B0CF9" w:rsidRPr="00366954" w:rsidRDefault="007B0CF9">
      <w:pPr>
        <w:jc w:val="both"/>
        <w:rPr>
          <w:lang w:val="fr-FR"/>
        </w:rPr>
      </w:pPr>
    </w:p>
    <w:p w14:paraId="5F474B55" w14:textId="77777777" w:rsidR="007B0CF9" w:rsidRPr="00366954" w:rsidRDefault="007B0CF9">
      <w:pPr>
        <w:jc w:val="both"/>
        <w:rPr>
          <w:lang w:val="fr-FR"/>
        </w:rPr>
      </w:pPr>
    </w:p>
    <w:p w14:paraId="4D21E0BB" w14:textId="77777777" w:rsidR="007B0CF9" w:rsidRPr="00366954" w:rsidRDefault="007B0CF9">
      <w:pPr>
        <w:jc w:val="both"/>
        <w:rPr>
          <w:lang w:val="fr-FR"/>
        </w:rPr>
      </w:pPr>
    </w:p>
    <w:p w14:paraId="27B75282" w14:textId="77777777" w:rsidR="007B0CF9" w:rsidRPr="00366954" w:rsidRDefault="00000000">
      <w:pPr>
        <w:jc w:val="both"/>
        <w:rPr>
          <w:lang w:val="fr-FR"/>
        </w:rPr>
      </w:pPr>
      <w:r>
        <w:rPr>
          <w:rFonts w:eastAsia="Liberation Serif"/>
          <w:lang w:val="fr-FR"/>
        </w:rPr>
        <w:tab/>
        <w:t xml:space="preserve">     Date</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t xml:space="preserve"> Direction </w:t>
      </w:r>
      <w:r>
        <w:rPr>
          <w:rFonts w:eastAsia="Liberation Serif"/>
          <w:b/>
          <w:bCs/>
          <w:lang w:val="fr-FR"/>
        </w:rPr>
        <w:t>Brambati SpA</w:t>
      </w:r>
    </w:p>
    <w:p w14:paraId="3EE50045" w14:textId="77777777" w:rsidR="007B0CF9" w:rsidRPr="00366954" w:rsidRDefault="007B0CF9">
      <w:pPr>
        <w:jc w:val="both"/>
        <w:rPr>
          <w:lang w:val="fr-FR"/>
        </w:rPr>
      </w:pPr>
    </w:p>
    <w:p w14:paraId="724835FF" w14:textId="77777777" w:rsidR="007B0CF9" w:rsidRDefault="00000000">
      <w:pPr>
        <w:jc w:val="both"/>
        <w:rPr>
          <w:rFonts w:eastAsia="Liberation Serif"/>
          <w:lang w:val="fr-FR"/>
        </w:rPr>
      </w:pPr>
      <w:r>
        <w:rPr>
          <w:rFonts w:eastAsia="Liberation Serif"/>
          <w:lang w:val="fr-FR"/>
        </w:rPr>
        <w:t>Codevilla, le 01/09/2025</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t>………………………………….</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p>
    <w:p w14:paraId="4CEC3CBE" w14:textId="77777777" w:rsidR="007B23F1" w:rsidRDefault="007B23F1">
      <w:pPr>
        <w:jc w:val="both"/>
        <w:rPr>
          <w:rFonts w:eastAsia="Liberation Serif"/>
          <w:lang w:val="fr-FR"/>
        </w:rPr>
      </w:pPr>
    </w:p>
    <w:p w14:paraId="2B8BA853" w14:textId="77777777" w:rsidR="007B23F1" w:rsidRDefault="007B23F1">
      <w:pPr>
        <w:jc w:val="both"/>
        <w:rPr>
          <w:rFonts w:eastAsia="Liberation Serif"/>
          <w:lang w:val="fr-FR"/>
        </w:rPr>
      </w:pPr>
    </w:p>
    <w:p w14:paraId="538C011F" w14:textId="77777777" w:rsidR="007B23F1" w:rsidRPr="00366954" w:rsidRDefault="007B23F1">
      <w:pPr>
        <w:jc w:val="both"/>
        <w:rPr>
          <w:lang w:val="fr-FR"/>
        </w:rPr>
      </w:pPr>
    </w:p>
    <w:sectPr w:rsidR="007B23F1" w:rsidRPr="00366954" w:rsidSect="005F2549">
      <w:headerReference w:type="default" r:id="rId7"/>
      <w:footerReference w:type="default" r:id="rId8"/>
      <w:pgSz w:w="11906" w:h="16838"/>
      <w:pgMar w:top="1134" w:right="1134" w:bottom="1134" w:left="1134"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2AB6" w14:textId="77777777" w:rsidR="007962C5" w:rsidRDefault="007962C5">
      <w:r>
        <w:separator/>
      </w:r>
    </w:p>
  </w:endnote>
  <w:endnote w:type="continuationSeparator" w:id="0">
    <w:p w14:paraId="2451EE32" w14:textId="77777777" w:rsidR="007962C5" w:rsidRDefault="0079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auto"/>
    <w:pitch w:val="variable"/>
  </w:font>
  <w:font w:name="Noto Sans CJK SC Regular">
    <w:altName w:val="Cambria"/>
    <w:panose1 w:val="00000000000000000000"/>
    <w:charset w:val="00"/>
    <w:family w:val="roman"/>
    <w:notTrueType/>
    <w:pitch w:val="default"/>
  </w:font>
  <w:font w:name="FreeSans">
    <w:altName w:val="Cambria"/>
    <w:charset w:val="01"/>
    <w:family w:val="roman"/>
    <w:pitch w:val="variable"/>
  </w:font>
  <w:font w:name="Liberation Sans">
    <w:altName w:val="Arial"/>
    <w:charset w:val="01"/>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9F7" w14:textId="77777777" w:rsidR="00612477" w:rsidRPr="00612477" w:rsidRDefault="00000000">
    <w:pPr>
      <w:pStyle w:val="Pidipagina"/>
      <w:rPr>
        <w:sz w:val="16"/>
        <w:szCs w:val="16"/>
      </w:rPr>
    </w:pPr>
    <w:r>
      <w:rPr>
        <w:rFonts w:eastAsia="Liberation Serif"/>
        <w:sz w:val="16"/>
        <w:szCs w:val="16"/>
        <w:lang w:val="fr-FR"/>
      </w:rPr>
      <w:t>Politique de Qualité, rév. 4</w:t>
    </w:r>
  </w:p>
  <w:p w14:paraId="285032C3" w14:textId="77777777" w:rsidR="00612477" w:rsidRDefault="006124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2812" w14:textId="77777777" w:rsidR="007962C5" w:rsidRDefault="007962C5">
      <w:r>
        <w:separator/>
      </w:r>
    </w:p>
  </w:footnote>
  <w:footnote w:type="continuationSeparator" w:id="0">
    <w:p w14:paraId="04C497E1" w14:textId="77777777" w:rsidR="007962C5" w:rsidRDefault="00796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0202" w14:textId="3135987C" w:rsidR="005F2549" w:rsidRDefault="00366954" w:rsidP="00366954">
    <w:pPr>
      <w:pStyle w:val="Intestazione"/>
      <w:jc w:val="right"/>
    </w:pPr>
    <w:r>
      <w:rPr>
        <w:noProof/>
      </w:rPr>
      <w:drawing>
        <wp:anchor distT="0" distB="0" distL="114300" distR="114300" simplePos="0" relativeHeight="251659264" behindDoc="0" locked="0" layoutInCell="1" allowOverlap="1" wp14:anchorId="7422AAB7" wp14:editId="6C60B7DA">
          <wp:simplePos x="0" y="0"/>
          <wp:positionH relativeFrom="page">
            <wp:posOffset>6797040</wp:posOffset>
          </wp:positionH>
          <wp:positionV relativeFrom="paragraph">
            <wp:posOffset>18415</wp:posOffset>
          </wp:positionV>
          <wp:extent cx="714375" cy="514461"/>
          <wp:effectExtent l="0" t="0" r="0" b="0"/>
          <wp:wrapNone/>
          <wp:docPr id="721647096" name="Immagine 1" descr="Immagine che contiene log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7096" name="Immagine 1" descr="Immagine che contiene logo, Carattere, Elementi grafici,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14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3956D9B" wp14:editId="31ED0D6D">
          <wp:extent cx="2237740" cy="323215"/>
          <wp:effectExtent l="0" t="0" r="0" b="635"/>
          <wp:docPr id="1685242200" name="Immagine 1" descr="Immagine che contiene testo, ross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42200" name="Immagine 1" descr="Immagine che contiene testo, rosso, Carattere,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DEE7F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60C71FD"/>
    <w:multiLevelType w:val="multilevel"/>
    <w:tmpl w:val="83CC98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1165A06"/>
    <w:multiLevelType w:val="hybridMultilevel"/>
    <w:tmpl w:val="A01608D2"/>
    <w:lvl w:ilvl="0" w:tplc="175438DA">
      <w:start w:val="1"/>
      <w:numFmt w:val="bullet"/>
      <w:lvlText w:val=""/>
      <w:lvlJc w:val="left"/>
      <w:pPr>
        <w:ind w:left="720" w:hanging="360"/>
      </w:pPr>
      <w:rPr>
        <w:rFonts w:ascii="Symbol" w:hAnsi="Symbol" w:hint="default"/>
      </w:rPr>
    </w:lvl>
    <w:lvl w:ilvl="1" w:tplc="7AC2E4F4" w:tentative="1">
      <w:start w:val="1"/>
      <w:numFmt w:val="bullet"/>
      <w:lvlText w:val="o"/>
      <w:lvlJc w:val="left"/>
      <w:pPr>
        <w:ind w:left="1440" w:hanging="360"/>
      </w:pPr>
      <w:rPr>
        <w:rFonts w:ascii="Courier New" w:hAnsi="Courier New" w:cs="Courier New" w:hint="default"/>
      </w:rPr>
    </w:lvl>
    <w:lvl w:ilvl="2" w:tplc="00623092" w:tentative="1">
      <w:start w:val="1"/>
      <w:numFmt w:val="bullet"/>
      <w:lvlText w:val=""/>
      <w:lvlJc w:val="left"/>
      <w:pPr>
        <w:ind w:left="2160" w:hanging="360"/>
      </w:pPr>
      <w:rPr>
        <w:rFonts w:ascii="Wingdings" w:hAnsi="Wingdings" w:hint="default"/>
      </w:rPr>
    </w:lvl>
    <w:lvl w:ilvl="3" w:tplc="D24EA05A" w:tentative="1">
      <w:start w:val="1"/>
      <w:numFmt w:val="bullet"/>
      <w:lvlText w:val=""/>
      <w:lvlJc w:val="left"/>
      <w:pPr>
        <w:ind w:left="2880" w:hanging="360"/>
      </w:pPr>
      <w:rPr>
        <w:rFonts w:ascii="Symbol" w:hAnsi="Symbol" w:hint="default"/>
      </w:rPr>
    </w:lvl>
    <w:lvl w:ilvl="4" w:tplc="0A744E20" w:tentative="1">
      <w:start w:val="1"/>
      <w:numFmt w:val="bullet"/>
      <w:lvlText w:val="o"/>
      <w:lvlJc w:val="left"/>
      <w:pPr>
        <w:ind w:left="3600" w:hanging="360"/>
      </w:pPr>
      <w:rPr>
        <w:rFonts w:ascii="Courier New" w:hAnsi="Courier New" w:cs="Courier New" w:hint="default"/>
      </w:rPr>
    </w:lvl>
    <w:lvl w:ilvl="5" w:tplc="B1DAA560" w:tentative="1">
      <w:start w:val="1"/>
      <w:numFmt w:val="bullet"/>
      <w:lvlText w:val=""/>
      <w:lvlJc w:val="left"/>
      <w:pPr>
        <w:ind w:left="4320" w:hanging="360"/>
      </w:pPr>
      <w:rPr>
        <w:rFonts w:ascii="Wingdings" w:hAnsi="Wingdings" w:hint="default"/>
      </w:rPr>
    </w:lvl>
    <w:lvl w:ilvl="6" w:tplc="04E2B66A" w:tentative="1">
      <w:start w:val="1"/>
      <w:numFmt w:val="bullet"/>
      <w:lvlText w:val=""/>
      <w:lvlJc w:val="left"/>
      <w:pPr>
        <w:ind w:left="5040" w:hanging="360"/>
      </w:pPr>
      <w:rPr>
        <w:rFonts w:ascii="Symbol" w:hAnsi="Symbol" w:hint="default"/>
      </w:rPr>
    </w:lvl>
    <w:lvl w:ilvl="7" w:tplc="6D749080" w:tentative="1">
      <w:start w:val="1"/>
      <w:numFmt w:val="bullet"/>
      <w:lvlText w:val="o"/>
      <w:lvlJc w:val="left"/>
      <w:pPr>
        <w:ind w:left="5760" w:hanging="360"/>
      </w:pPr>
      <w:rPr>
        <w:rFonts w:ascii="Courier New" w:hAnsi="Courier New" w:cs="Courier New" w:hint="default"/>
      </w:rPr>
    </w:lvl>
    <w:lvl w:ilvl="8" w:tplc="1A1295A8" w:tentative="1">
      <w:start w:val="1"/>
      <w:numFmt w:val="bullet"/>
      <w:lvlText w:val=""/>
      <w:lvlJc w:val="left"/>
      <w:pPr>
        <w:ind w:left="6480" w:hanging="360"/>
      </w:pPr>
      <w:rPr>
        <w:rFonts w:ascii="Wingdings" w:hAnsi="Wingdings" w:hint="default"/>
      </w:rPr>
    </w:lvl>
  </w:abstractNum>
  <w:abstractNum w:abstractNumId="3" w15:restartNumberingAfterBreak="0">
    <w:nsid w:val="31E26EC0"/>
    <w:multiLevelType w:val="multilevel"/>
    <w:tmpl w:val="2F007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4284DF3"/>
    <w:multiLevelType w:val="multilevel"/>
    <w:tmpl w:val="42287D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2860918"/>
    <w:multiLevelType w:val="multilevel"/>
    <w:tmpl w:val="0CEC03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449083016">
    <w:abstractNumId w:val="5"/>
  </w:num>
  <w:num w:numId="2" w16cid:durableId="1457212272">
    <w:abstractNumId w:val="3"/>
  </w:num>
  <w:num w:numId="3" w16cid:durableId="1319727643">
    <w:abstractNumId w:val="1"/>
  </w:num>
  <w:num w:numId="4" w16cid:durableId="1576666692">
    <w:abstractNumId w:val="4"/>
  </w:num>
  <w:num w:numId="5" w16cid:durableId="600796191">
    <w:abstractNumId w:val="0"/>
  </w:num>
  <w:num w:numId="6" w16cid:durableId="208819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9"/>
    <w:rsid w:val="000B54DB"/>
    <w:rsid w:val="00124F48"/>
    <w:rsid w:val="00157259"/>
    <w:rsid w:val="001D731D"/>
    <w:rsid w:val="001E4507"/>
    <w:rsid w:val="00200C50"/>
    <w:rsid w:val="00226E2D"/>
    <w:rsid w:val="002527A9"/>
    <w:rsid w:val="00253567"/>
    <w:rsid w:val="00366954"/>
    <w:rsid w:val="003C04C7"/>
    <w:rsid w:val="003F0F6C"/>
    <w:rsid w:val="005E5D92"/>
    <w:rsid w:val="005F2549"/>
    <w:rsid w:val="0061168D"/>
    <w:rsid w:val="00612477"/>
    <w:rsid w:val="0065BC62"/>
    <w:rsid w:val="00706704"/>
    <w:rsid w:val="007962C5"/>
    <w:rsid w:val="007B0CF9"/>
    <w:rsid w:val="007B23F1"/>
    <w:rsid w:val="007C4D8F"/>
    <w:rsid w:val="007E324A"/>
    <w:rsid w:val="00807E4B"/>
    <w:rsid w:val="008462A2"/>
    <w:rsid w:val="008E2B75"/>
    <w:rsid w:val="009407E3"/>
    <w:rsid w:val="009A53D9"/>
    <w:rsid w:val="00AB2089"/>
    <w:rsid w:val="00AC665E"/>
    <w:rsid w:val="00AFA8F9"/>
    <w:rsid w:val="00B53FF4"/>
    <w:rsid w:val="00C00CB3"/>
    <w:rsid w:val="00C2486E"/>
    <w:rsid w:val="00C73234"/>
    <w:rsid w:val="00CB5DA3"/>
    <w:rsid w:val="00D40E3A"/>
    <w:rsid w:val="00D601FB"/>
    <w:rsid w:val="00D72336"/>
    <w:rsid w:val="00DE6EAC"/>
    <w:rsid w:val="00EB64ED"/>
    <w:rsid w:val="00ED540F"/>
    <w:rsid w:val="00EE3CD5"/>
    <w:rsid w:val="00F12CBA"/>
    <w:rsid w:val="00F13FB4"/>
    <w:rsid w:val="00FC37FB"/>
    <w:rsid w:val="01BFA13A"/>
    <w:rsid w:val="032F9DC9"/>
    <w:rsid w:val="13CAB0E3"/>
    <w:rsid w:val="2870A6B1"/>
    <w:rsid w:val="31B511FF"/>
    <w:rsid w:val="3ED196CC"/>
    <w:rsid w:val="6032ACA3"/>
    <w:rsid w:val="68A0EA4F"/>
    <w:rsid w:val="7FDD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C7EA"/>
  <w15:docId w15:val="{13D50A7A-533E-424C-B8EC-DFB32C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Predefinito"/>
    <w:qFormat/>
  </w:style>
  <w:style w:type="paragraph" w:styleId="Elenco">
    <w:name w:val="List"/>
    <w:basedOn w:val="Corpotesto"/>
    <w:rPr>
      <w:rFonts w:cs="FreeSans"/>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redefinito">
    <w:name w:val="Predefinito"/>
    <w:qFormat/>
    <w:pPr>
      <w:spacing w:line="200" w:lineRule="atLeast"/>
    </w:pPr>
    <w:rPr>
      <w:rFonts w:ascii="FreeSans" w:eastAsia="DejaVu Sans" w:hAnsi="FreeSans" w:cs="Liberation Sans"/>
      <w:color w:val="000000"/>
      <w:sz w:val="36"/>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1">
    <w:name w:val="Titolo1"/>
    <w:basedOn w:val="Predefinito"/>
    <w:qFormat/>
    <w:pPr>
      <w:jc w:val="center"/>
    </w:pPr>
  </w:style>
  <w:style w:type="paragraph" w:customStyle="1" w:styleId="Titolo2">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TitleSlideLTGliederung1">
    <w:name w:val="Title Slide~LT~Gliederung 1"/>
    <w:qFormat/>
    <w:pPr>
      <w:spacing w:before="283"/>
    </w:pPr>
    <w:rPr>
      <w:rFonts w:ascii="FreeSans" w:eastAsia="DejaVu Sans" w:hAnsi="FreeSans" w:cs="Liberation Sans"/>
      <w:color w:val="000000"/>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FreeSans" w:eastAsia="DejaVu Sans" w:hAnsi="FreeSans" w:cs="Liberation Sans"/>
      <w:color w:val="000000"/>
      <w:sz w:val="88"/>
    </w:rPr>
  </w:style>
  <w:style w:type="paragraph" w:customStyle="1" w:styleId="TitleSlideLTUntertitel">
    <w:name w:val="Title Slide~LT~Untertitel"/>
    <w:qFormat/>
    <w:pPr>
      <w:jc w:val="center"/>
    </w:pPr>
    <w:rPr>
      <w:rFonts w:ascii="FreeSans" w:eastAsia="DejaVu Sans" w:hAnsi="FreeSans" w:cs="Liberation Sans"/>
      <w:color w:val="000000"/>
      <w:sz w:val="64"/>
    </w:rPr>
  </w:style>
  <w:style w:type="paragraph" w:customStyle="1" w:styleId="TitleSlideLTNotizen">
    <w:name w:val="Title Slide~LT~Notizen"/>
    <w:qFormat/>
    <w:pPr>
      <w:ind w:left="340" w:hanging="340"/>
    </w:pPr>
    <w:rPr>
      <w:rFonts w:ascii="FreeSans" w:eastAsia="DejaVu Sans" w:hAnsi="FreeSans" w:cs="Liberation Sans"/>
      <w:color w:val="000000"/>
      <w:sz w:val="40"/>
    </w:rPr>
  </w:style>
  <w:style w:type="paragraph" w:customStyle="1" w:styleId="TitleSlideLTHintergrundobjekte">
    <w:name w:val="Title Slide~LT~Hintergrundobjekte"/>
    <w:qFormat/>
    <w:rPr>
      <w:rFonts w:eastAsia="DejaVu Sans" w:cs="Liberation Sans"/>
    </w:rPr>
  </w:style>
  <w:style w:type="paragraph" w:customStyle="1" w:styleId="TitleSlideLTHintergrund">
    <w:name w:val="Title Slide~LT~Hintergrund"/>
    <w:qFormat/>
    <w:rPr>
      <w:rFonts w:eastAsia="DejaVu Sans" w:cs="Liberation Sans"/>
    </w:rPr>
  </w:style>
  <w:style w:type="paragraph" w:customStyle="1" w:styleId="default">
    <w:name w:val="default"/>
    <w:qFormat/>
    <w:pPr>
      <w:spacing w:line="200" w:lineRule="atLeast"/>
    </w:pPr>
    <w:rPr>
      <w:rFonts w:ascii="FreeSans" w:eastAsia="DejaVu Sans" w:hAnsi="FreeSans" w:cs="Liberation Sans"/>
      <w:color w:val="000000"/>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eastAsia="DejaVu Sans" w:cs="Liberation Sans"/>
    </w:rPr>
  </w:style>
  <w:style w:type="paragraph" w:customStyle="1" w:styleId="Sfondo">
    <w:name w:val="Sfondo"/>
    <w:qFormat/>
    <w:rPr>
      <w:rFonts w:eastAsia="DejaVu Sans" w:cs="Liberation Sans"/>
    </w:rPr>
  </w:style>
  <w:style w:type="paragraph" w:customStyle="1" w:styleId="Note">
    <w:name w:val="Note"/>
    <w:qFormat/>
    <w:pPr>
      <w:ind w:left="340" w:hanging="340"/>
    </w:pPr>
    <w:rPr>
      <w:rFonts w:ascii="FreeSans" w:eastAsia="DejaVu Sans" w:hAnsi="FreeSans" w:cs="Liberation Sans"/>
      <w:color w:val="000000"/>
      <w:sz w:val="40"/>
    </w:rPr>
  </w:style>
  <w:style w:type="paragraph" w:customStyle="1" w:styleId="Struttura1">
    <w:name w:val="Struttura 1"/>
    <w:qFormat/>
    <w:pPr>
      <w:spacing w:before="283"/>
    </w:pPr>
    <w:rPr>
      <w:rFonts w:ascii="FreeSans" w:eastAsia="DejaVu Sans" w:hAnsi="FreeSans" w:cs="Liberation Sans"/>
      <w:color w:val="000000"/>
      <w:sz w:val="63"/>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styleId="Intestazione">
    <w:name w:val="header"/>
    <w:basedOn w:val="Normale"/>
    <w:link w:val="IntestazioneCarattere"/>
    <w:uiPriority w:val="99"/>
    <w:unhideWhenUsed/>
    <w:rsid w:val="006124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12477"/>
    <w:rPr>
      <w:rFonts w:cs="Mangal"/>
      <w:szCs w:val="21"/>
    </w:rPr>
  </w:style>
  <w:style w:type="paragraph" w:styleId="Pidipagina">
    <w:name w:val="footer"/>
    <w:basedOn w:val="Normale"/>
    <w:link w:val="PidipaginaCarattere"/>
    <w:uiPriority w:val="99"/>
    <w:unhideWhenUsed/>
    <w:rsid w:val="0061247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12477"/>
    <w:rPr>
      <w:rFonts w:cs="Mangal"/>
      <w:szCs w:val="21"/>
    </w:rPr>
  </w:style>
  <w:style w:type="paragraph" w:styleId="Puntoelenco">
    <w:name w:val="List Bullet"/>
    <w:basedOn w:val="Normale"/>
    <w:uiPriority w:val="99"/>
    <w:unhideWhenUsed/>
    <w:rsid w:val="00AB2089"/>
    <w:pPr>
      <w:numPr>
        <w:numId w:val="5"/>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 w:type="paragraph" w:styleId="Paragrafoelenco">
    <w:name w:val="List Paragraph"/>
    <w:basedOn w:val="Normale"/>
    <w:uiPriority w:val="34"/>
    <w:qFormat/>
    <w:rsid w:val="00AB208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A</dc:creator>
  <cp:lastModifiedBy>Export Commerciale - Brambati Spa</cp:lastModifiedBy>
  <cp:revision>6</cp:revision>
  <dcterms:created xsi:type="dcterms:W3CDTF">2025-09-05T12:41:00Z</dcterms:created>
  <dcterms:modified xsi:type="dcterms:W3CDTF">2025-09-16T14:10:00Z</dcterms:modified>
  <dc:language>it-IT</dc:language>
</cp:coreProperties>
</file>