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184A" w14:textId="77777777" w:rsidR="007B0CF9" w:rsidRDefault="007B0CF9">
      <w:pPr>
        <w:jc w:val="center"/>
      </w:pPr>
    </w:p>
    <w:p w14:paraId="40C0C3B2" w14:textId="77777777" w:rsidR="007B0CF9" w:rsidRPr="00BF6766" w:rsidRDefault="00000000">
      <w:pPr>
        <w:jc w:val="center"/>
        <w:rPr>
          <w:b/>
          <w:bCs/>
          <w:lang w:val="fr-FR"/>
        </w:rPr>
      </w:pPr>
      <w:r>
        <w:rPr>
          <w:rFonts w:eastAsia="Liberation Serif"/>
          <w:b/>
          <w:bCs/>
          <w:lang w:val="fr-FR"/>
        </w:rPr>
        <w:t>POLITIQUE DES ACHATS DURABLES</w:t>
      </w:r>
    </w:p>
    <w:p w14:paraId="3E206452" w14:textId="77777777" w:rsidR="007B0CF9" w:rsidRPr="00BF6766" w:rsidRDefault="007B0CF9">
      <w:pPr>
        <w:jc w:val="center"/>
        <w:rPr>
          <w:lang w:val="fr-FR"/>
        </w:rPr>
      </w:pPr>
    </w:p>
    <w:p w14:paraId="7BB583C3" w14:textId="77777777" w:rsidR="004F71A7" w:rsidRPr="00BF6766" w:rsidRDefault="00000000" w:rsidP="004F71A7">
      <w:pPr>
        <w:jc w:val="both"/>
        <w:rPr>
          <w:lang w:val="fr-FR"/>
        </w:rPr>
      </w:pPr>
      <w:r>
        <w:rPr>
          <w:rFonts w:eastAsia="Liberation Serif"/>
          <w:b/>
          <w:bCs/>
          <w:lang w:val="fr-FR"/>
        </w:rPr>
        <w:t xml:space="preserve">Brambati </w:t>
      </w:r>
      <w:proofErr w:type="spellStart"/>
      <w:r>
        <w:rPr>
          <w:rFonts w:eastAsia="Liberation Serif"/>
          <w:b/>
          <w:bCs/>
          <w:lang w:val="fr-FR"/>
        </w:rPr>
        <w:t>SpA</w:t>
      </w:r>
      <w:proofErr w:type="spellEnd"/>
      <w:r>
        <w:rPr>
          <w:rFonts w:eastAsia="Liberation Serif"/>
          <w:lang w:val="fr-FR"/>
        </w:rPr>
        <w:t xml:space="preserve"> reconnaît que ses décisions d’achat ont un impact direct et indirect sur l’environnement, la société et l’économie. Cette Politique des Achats Durables est rédigée conformément à la norme UNI ISO 20400 et prend en compte les meilleures procédures du secteur, les Objectifs de développement durable (ODD), la Directive européenne CSRD/ESRS et les principes du Pacte mondial.</w:t>
      </w:r>
    </w:p>
    <w:p w14:paraId="7D8CD835" w14:textId="77777777" w:rsidR="004F71A7" w:rsidRPr="00BF6766" w:rsidRDefault="00000000" w:rsidP="004F71A7">
      <w:pPr>
        <w:pStyle w:val="Titolo2"/>
        <w:jc w:val="both"/>
        <w:rPr>
          <w:rFonts w:ascii="Liberation Serif" w:eastAsia="Noto Sans CJK SC Regular" w:hAnsi="Liberation Serif" w:cs="FreeSans"/>
          <w:color w:val="auto"/>
          <w:sz w:val="24"/>
          <w:szCs w:val="24"/>
          <w:lang w:val="fr-FR" w:eastAsia="zh-CN" w:bidi="hi-IN"/>
        </w:rPr>
      </w:pPr>
      <w:r>
        <w:rPr>
          <w:rFonts w:ascii="Liberation Serif" w:eastAsia="Liberation Serif" w:hAnsi="Liberation Serif" w:cs="FreeSans"/>
          <w:color w:val="auto"/>
          <w:sz w:val="24"/>
          <w:szCs w:val="24"/>
          <w:lang w:val="fr-FR" w:eastAsia="zh-CN" w:bidi="hi-IN"/>
        </w:rPr>
        <w:t>Principes généraux</w:t>
      </w:r>
    </w:p>
    <w:p w14:paraId="1F4F5993" w14:textId="77777777" w:rsidR="004F71A7" w:rsidRPr="00BF6766" w:rsidRDefault="00000000" w:rsidP="004F71A7">
      <w:pPr>
        <w:jc w:val="both"/>
        <w:rPr>
          <w:lang w:val="fr-FR"/>
        </w:rPr>
      </w:pPr>
      <w:r>
        <w:rPr>
          <w:rFonts w:eastAsia="Liberation Serif"/>
          <w:lang w:val="fr-FR"/>
        </w:rPr>
        <w:t xml:space="preserve">Les principes généraux qui guident la gestion des achats durables de </w:t>
      </w:r>
      <w:r>
        <w:rPr>
          <w:rFonts w:eastAsia="Liberation Serif"/>
          <w:b/>
          <w:bCs/>
          <w:lang w:val="fr-FR"/>
        </w:rPr>
        <w:t>Brambati SpA</w:t>
      </w:r>
      <w:r>
        <w:rPr>
          <w:rFonts w:eastAsia="Liberation Serif"/>
          <w:lang w:val="fr-FR"/>
        </w:rPr>
        <w:t xml:space="preserve"> sont les suivants :</w:t>
      </w:r>
    </w:p>
    <w:p w14:paraId="422C1AAB" w14:textId="77777777" w:rsidR="004F71A7" w:rsidRPr="00BF6766" w:rsidRDefault="004F71A7" w:rsidP="004F71A7">
      <w:pPr>
        <w:jc w:val="both"/>
        <w:rPr>
          <w:lang w:val="fr-FR"/>
        </w:rPr>
      </w:pPr>
    </w:p>
    <w:p w14:paraId="3107E9CA" w14:textId="77777777" w:rsidR="004F71A7" w:rsidRPr="00BF6766" w:rsidRDefault="00000000" w:rsidP="004F71A7">
      <w:pPr>
        <w:pStyle w:val="Paragrafoelenco"/>
        <w:numPr>
          <w:ilvl w:val="0"/>
          <w:numId w:val="8"/>
        </w:numPr>
        <w:jc w:val="both"/>
        <w:rPr>
          <w:lang w:val="fr-FR"/>
        </w:rPr>
      </w:pPr>
      <w:r>
        <w:rPr>
          <w:rFonts w:eastAsia="Liberation Serif"/>
          <w:szCs w:val="24"/>
          <w:lang w:val="fr-FR"/>
        </w:rPr>
        <w:t>Respecter les droits de l’homme, la dignité du travail et les réglementations nationales et internationales en vigueur ;</w:t>
      </w:r>
    </w:p>
    <w:p w14:paraId="17A0B1CB" w14:textId="77777777" w:rsidR="004F71A7" w:rsidRPr="00BF6766" w:rsidRDefault="00000000" w:rsidP="004F71A7">
      <w:pPr>
        <w:pStyle w:val="Paragrafoelenco"/>
        <w:numPr>
          <w:ilvl w:val="0"/>
          <w:numId w:val="8"/>
        </w:numPr>
        <w:jc w:val="both"/>
        <w:rPr>
          <w:lang w:val="fr-FR"/>
        </w:rPr>
      </w:pPr>
      <w:r>
        <w:rPr>
          <w:rFonts w:eastAsia="Liberation Serif"/>
          <w:szCs w:val="24"/>
          <w:lang w:val="fr-FR"/>
        </w:rPr>
        <w:t>Promouvoir des procédures d’approvisionnement éthiques, transparentes et responsables tout au long de la chaîne d’approvisionnement ;</w:t>
      </w:r>
    </w:p>
    <w:p w14:paraId="0AD17032" w14:textId="77777777" w:rsidR="004F71A7" w:rsidRPr="00BF6766" w:rsidRDefault="00000000" w:rsidP="004F71A7">
      <w:pPr>
        <w:pStyle w:val="Paragrafoelenco"/>
        <w:numPr>
          <w:ilvl w:val="0"/>
          <w:numId w:val="8"/>
        </w:numPr>
        <w:jc w:val="both"/>
        <w:rPr>
          <w:lang w:val="fr-FR"/>
        </w:rPr>
      </w:pPr>
      <w:r>
        <w:rPr>
          <w:rFonts w:eastAsia="Liberation Serif"/>
          <w:szCs w:val="24"/>
          <w:lang w:val="fr-FR"/>
        </w:rPr>
        <w:t>Intégrer l’égalité des sexes, la diversité et l’inclusion (UNI PdR 125, ISO 30415) dans les politiques d’achat ;</w:t>
      </w:r>
    </w:p>
    <w:p w14:paraId="1FC9F187" w14:textId="77777777" w:rsidR="004F71A7" w:rsidRPr="00BF6766" w:rsidRDefault="00000000" w:rsidP="004F71A7">
      <w:pPr>
        <w:pStyle w:val="Paragrafoelenco"/>
        <w:numPr>
          <w:ilvl w:val="0"/>
          <w:numId w:val="8"/>
        </w:numPr>
        <w:jc w:val="both"/>
        <w:rPr>
          <w:lang w:val="fr-FR"/>
        </w:rPr>
      </w:pPr>
      <w:r>
        <w:rPr>
          <w:rFonts w:eastAsia="Liberation Serif"/>
          <w:szCs w:val="24"/>
          <w:lang w:val="fr-FR"/>
        </w:rPr>
        <w:t>Promouvoir un équilibre entre la durabilité environnementale, la responsabilité sociale et l’efficacité économique.</w:t>
      </w:r>
    </w:p>
    <w:p w14:paraId="214386D6" w14:textId="77777777" w:rsidR="004F71A7" w:rsidRPr="00BF6766" w:rsidRDefault="00000000" w:rsidP="004F71A7">
      <w:pPr>
        <w:pStyle w:val="Titolo2"/>
        <w:jc w:val="both"/>
        <w:rPr>
          <w:rFonts w:ascii="Liberation Serif" w:eastAsia="Noto Sans CJK SC Regular" w:hAnsi="Liberation Serif" w:cs="FreeSans"/>
          <w:color w:val="auto"/>
          <w:sz w:val="24"/>
          <w:szCs w:val="24"/>
          <w:lang w:val="fr-FR" w:eastAsia="zh-CN" w:bidi="hi-IN"/>
        </w:rPr>
      </w:pPr>
      <w:r>
        <w:rPr>
          <w:rFonts w:ascii="Liberation Serif" w:eastAsia="Liberation Serif" w:hAnsi="Liberation Serif" w:cs="FreeSans"/>
          <w:color w:val="auto"/>
          <w:sz w:val="24"/>
          <w:szCs w:val="24"/>
          <w:lang w:val="fr-FR" w:eastAsia="zh-CN" w:bidi="hi-IN"/>
        </w:rPr>
        <w:t>Gestion des risques et des opportunités climatiques</w:t>
      </w:r>
    </w:p>
    <w:p w14:paraId="36987B76" w14:textId="77777777" w:rsidR="004F71A7" w:rsidRPr="00BF6766" w:rsidRDefault="00000000" w:rsidP="004F71A7">
      <w:pPr>
        <w:jc w:val="both"/>
        <w:rPr>
          <w:lang w:val="fr-FR"/>
        </w:rPr>
      </w:pPr>
      <w:r>
        <w:rPr>
          <w:rFonts w:eastAsia="Liberation Serif"/>
          <w:b/>
          <w:bCs/>
          <w:lang w:val="fr-FR"/>
        </w:rPr>
        <w:t>Brambati SpA</w:t>
      </w:r>
      <w:r>
        <w:rPr>
          <w:rFonts w:eastAsia="Liberation Serif"/>
          <w:lang w:val="fr-FR"/>
        </w:rPr>
        <w:t xml:space="preserve"> reconnaît que le changement climatique peut avoir un impact sur la continuité de la chaîne d’approvisionnement et sur la disponibilité des matières premières et des services. L'analyse des risques et des opportunités a mis en évidence les principaux risques suivants à prendre en compte dans les stratégies et décisions d'achat :</w:t>
      </w:r>
    </w:p>
    <w:p w14:paraId="12C52ECB" w14:textId="77777777" w:rsidR="004F71A7" w:rsidRPr="00BF6766" w:rsidRDefault="004F71A7" w:rsidP="004F71A7">
      <w:pPr>
        <w:jc w:val="both"/>
        <w:rPr>
          <w:lang w:val="fr-FR"/>
        </w:rPr>
      </w:pPr>
    </w:p>
    <w:p w14:paraId="31A0DBD1" w14:textId="77777777" w:rsidR="004F71A7" w:rsidRPr="00BF6766" w:rsidRDefault="00000000" w:rsidP="004F71A7">
      <w:pPr>
        <w:pStyle w:val="Paragrafoelenco"/>
        <w:numPr>
          <w:ilvl w:val="0"/>
          <w:numId w:val="9"/>
        </w:numPr>
        <w:jc w:val="both"/>
        <w:rPr>
          <w:lang w:val="fr-FR"/>
        </w:rPr>
      </w:pPr>
      <w:r>
        <w:rPr>
          <w:rFonts w:eastAsia="Liberation Serif"/>
          <w:szCs w:val="24"/>
          <w:lang w:val="fr-FR"/>
        </w:rPr>
        <w:t>Interruptions d’approvisionnement dues à des événements météorologiques extrêmes (inondations, vagues de chaleur, tempêtes) ;</w:t>
      </w:r>
    </w:p>
    <w:p w14:paraId="031DB201" w14:textId="77777777" w:rsidR="004F71A7" w:rsidRPr="00BF6766" w:rsidRDefault="00000000" w:rsidP="004F71A7">
      <w:pPr>
        <w:pStyle w:val="Paragrafoelenco"/>
        <w:numPr>
          <w:ilvl w:val="0"/>
          <w:numId w:val="9"/>
        </w:numPr>
        <w:jc w:val="both"/>
        <w:rPr>
          <w:lang w:val="fr-FR"/>
        </w:rPr>
      </w:pPr>
      <w:r>
        <w:rPr>
          <w:rFonts w:eastAsia="Liberation Serif"/>
          <w:szCs w:val="24"/>
          <w:lang w:val="fr-FR"/>
        </w:rPr>
        <w:t>Augmentation des coûts et réduction de la disponibilité des ressources en eau et en énergie ;</w:t>
      </w:r>
    </w:p>
    <w:p w14:paraId="25427202" w14:textId="77777777" w:rsidR="004F71A7" w:rsidRPr="00BF6766" w:rsidRDefault="00000000" w:rsidP="004F71A7">
      <w:pPr>
        <w:pStyle w:val="Paragrafoelenco"/>
        <w:numPr>
          <w:ilvl w:val="0"/>
          <w:numId w:val="9"/>
        </w:numPr>
        <w:jc w:val="both"/>
        <w:rPr>
          <w:lang w:val="fr-FR"/>
        </w:rPr>
      </w:pPr>
      <w:r>
        <w:rPr>
          <w:rFonts w:eastAsia="Liberation Serif"/>
          <w:szCs w:val="24"/>
          <w:lang w:val="fr-FR"/>
        </w:rPr>
        <w:t>Impact de la sécheresse et de la baisse des rendements agricoles sur les matières premières végétales ;</w:t>
      </w:r>
    </w:p>
    <w:p w14:paraId="011C7F90" w14:textId="77777777" w:rsidR="004F71A7" w:rsidRPr="00BF6766" w:rsidRDefault="00000000" w:rsidP="004F71A7">
      <w:pPr>
        <w:pStyle w:val="Paragrafoelenco"/>
        <w:numPr>
          <w:ilvl w:val="0"/>
          <w:numId w:val="9"/>
        </w:numPr>
        <w:jc w:val="both"/>
        <w:rPr>
          <w:lang w:val="fr-FR"/>
        </w:rPr>
      </w:pPr>
      <w:r>
        <w:rPr>
          <w:rFonts w:eastAsia="Liberation Serif"/>
          <w:szCs w:val="24"/>
          <w:lang w:val="fr-FR"/>
        </w:rPr>
        <w:t>Augmentation des émissions de CO₂ tout au long de la chaîne logistique ;</w:t>
      </w:r>
    </w:p>
    <w:p w14:paraId="3D5670B5" w14:textId="77777777" w:rsidR="004F71A7" w:rsidRPr="00BF6766" w:rsidRDefault="00000000" w:rsidP="004F71A7">
      <w:pPr>
        <w:pStyle w:val="Paragrafoelenco"/>
        <w:numPr>
          <w:ilvl w:val="0"/>
          <w:numId w:val="9"/>
        </w:numPr>
        <w:jc w:val="both"/>
        <w:rPr>
          <w:lang w:val="fr-FR"/>
        </w:rPr>
      </w:pPr>
      <w:r>
        <w:rPr>
          <w:rFonts w:eastAsia="Liberation Serif"/>
          <w:szCs w:val="24"/>
          <w:lang w:val="fr-FR"/>
        </w:rPr>
        <w:t>Vulnérabilité accrue de la chaîne d’approvisionnement en cas de dépendance à des fournisseurs situés dans des zones à risques climatiques.</w:t>
      </w:r>
    </w:p>
    <w:p w14:paraId="382EAED7" w14:textId="77777777" w:rsidR="004F71A7" w:rsidRPr="00BF6766" w:rsidRDefault="004F71A7" w:rsidP="004F71A7">
      <w:pPr>
        <w:jc w:val="both"/>
        <w:rPr>
          <w:lang w:val="fr-FR"/>
        </w:rPr>
      </w:pPr>
    </w:p>
    <w:p w14:paraId="71F6404D" w14:textId="77777777" w:rsidR="004F71A7" w:rsidRPr="00BF6766" w:rsidRDefault="00000000" w:rsidP="004F71A7">
      <w:pPr>
        <w:jc w:val="both"/>
        <w:rPr>
          <w:lang w:val="fr-FR"/>
        </w:rPr>
      </w:pPr>
      <w:r>
        <w:rPr>
          <w:rFonts w:eastAsia="Liberation Serif"/>
          <w:lang w:val="fr-FR"/>
        </w:rPr>
        <w:t xml:space="preserve">Outre les risques, </w:t>
      </w:r>
      <w:r>
        <w:rPr>
          <w:rFonts w:eastAsia="Liberation Serif"/>
          <w:b/>
          <w:bCs/>
          <w:lang w:val="fr-FR"/>
        </w:rPr>
        <w:t>Brambati SpA</w:t>
      </w:r>
      <w:r>
        <w:rPr>
          <w:rFonts w:eastAsia="Liberation Serif"/>
          <w:lang w:val="fr-FR"/>
        </w:rPr>
        <w:t xml:space="preserve"> a également identifié les opportunités suivantes en matière de durabilité dans les achats :</w:t>
      </w:r>
    </w:p>
    <w:p w14:paraId="0F0DADC8" w14:textId="77777777" w:rsidR="004F71A7" w:rsidRPr="00BF6766" w:rsidRDefault="004F71A7" w:rsidP="004F71A7">
      <w:pPr>
        <w:jc w:val="both"/>
        <w:rPr>
          <w:lang w:val="fr-FR"/>
        </w:rPr>
      </w:pPr>
    </w:p>
    <w:p w14:paraId="1AD08309" w14:textId="77777777" w:rsidR="004F71A7" w:rsidRPr="00BF6766" w:rsidRDefault="00000000" w:rsidP="004F71A7">
      <w:pPr>
        <w:pStyle w:val="Paragrafoelenco"/>
        <w:numPr>
          <w:ilvl w:val="0"/>
          <w:numId w:val="10"/>
        </w:numPr>
        <w:jc w:val="both"/>
        <w:rPr>
          <w:lang w:val="fr-FR"/>
        </w:rPr>
      </w:pPr>
      <w:r>
        <w:rPr>
          <w:rFonts w:eastAsia="Liberation Serif"/>
          <w:szCs w:val="24"/>
          <w:lang w:val="fr-FR"/>
        </w:rPr>
        <w:t>Promouvoir des fournisseurs résilients et innovants capables d’assurer la continuité des activités ;</w:t>
      </w:r>
    </w:p>
    <w:p w14:paraId="4C3FBEA5" w14:textId="77777777" w:rsidR="004F71A7" w:rsidRPr="00BF6766" w:rsidRDefault="00000000" w:rsidP="004F71A7">
      <w:pPr>
        <w:pStyle w:val="Paragrafoelenco"/>
        <w:numPr>
          <w:ilvl w:val="0"/>
          <w:numId w:val="10"/>
        </w:numPr>
        <w:jc w:val="both"/>
        <w:rPr>
          <w:lang w:val="fr-FR"/>
        </w:rPr>
      </w:pPr>
      <w:r>
        <w:rPr>
          <w:rFonts w:eastAsia="Liberation Serif"/>
          <w:szCs w:val="24"/>
          <w:lang w:val="fr-FR"/>
        </w:rPr>
        <w:t>Faciliter l’adoption de solutions à faible impact environnemental et à empreinte carbone réduite ;</w:t>
      </w:r>
    </w:p>
    <w:p w14:paraId="448199A1" w14:textId="77777777" w:rsidR="004F71A7" w:rsidRPr="00BF6766" w:rsidRDefault="00000000" w:rsidP="004F71A7">
      <w:pPr>
        <w:pStyle w:val="Paragrafoelenco"/>
        <w:numPr>
          <w:ilvl w:val="0"/>
          <w:numId w:val="10"/>
        </w:numPr>
        <w:jc w:val="both"/>
        <w:rPr>
          <w:lang w:val="fr-FR"/>
        </w:rPr>
      </w:pPr>
      <w:r>
        <w:rPr>
          <w:rFonts w:eastAsia="Liberation Serif"/>
          <w:szCs w:val="24"/>
          <w:lang w:val="fr-FR"/>
        </w:rPr>
        <w:t>Développer des partenariats orientés vers l’économie circulaire et la réutilisation des ressources ;</w:t>
      </w:r>
    </w:p>
    <w:p w14:paraId="3AEF9F96" w14:textId="77777777" w:rsidR="004F71A7" w:rsidRPr="00BF6766" w:rsidRDefault="00000000" w:rsidP="004F71A7">
      <w:pPr>
        <w:pStyle w:val="Paragrafoelenco"/>
        <w:numPr>
          <w:ilvl w:val="0"/>
          <w:numId w:val="10"/>
        </w:numPr>
        <w:jc w:val="both"/>
        <w:rPr>
          <w:lang w:val="fr-FR"/>
        </w:rPr>
      </w:pPr>
      <w:r>
        <w:rPr>
          <w:rFonts w:eastAsia="Liberation Serif"/>
          <w:szCs w:val="24"/>
          <w:lang w:val="fr-FR"/>
        </w:rPr>
        <w:t>Créer de la valeur partagée en améliorant la transparence et la traçabilité de la chaîne d’approvisionnement.</w:t>
      </w:r>
    </w:p>
    <w:p w14:paraId="15CA1F20" w14:textId="77777777" w:rsidR="004F71A7" w:rsidRPr="00BF6766" w:rsidRDefault="00000000" w:rsidP="004F71A7">
      <w:pPr>
        <w:pStyle w:val="Titolo2"/>
        <w:jc w:val="both"/>
        <w:rPr>
          <w:rFonts w:ascii="Liberation Serif" w:eastAsia="Noto Sans CJK SC Regular" w:hAnsi="Liberation Serif" w:cs="FreeSans"/>
          <w:color w:val="auto"/>
          <w:sz w:val="24"/>
          <w:szCs w:val="24"/>
          <w:lang w:val="fr-FR" w:eastAsia="zh-CN" w:bidi="hi-IN"/>
        </w:rPr>
      </w:pPr>
      <w:r>
        <w:rPr>
          <w:rFonts w:ascii="Liberation Serif" w:eastAsia="Liberation Serif" w:hAnsi="Liberation Serif" w:cs="FreeSans"/>
          <w:color w:val="auto"/>
          <w:sz w:val="24"/>
          <w:szCs w:val="24"/>
          <w:lang w:val="fr-FR" w:eastAsia="zh-CN" w:bidi="hi-IN"/>
        </w:rPr>
        <w:t>Engagements opérationnels</w:t>
      </w:r>
    </w:p>
    <w:p w14:paraId="0618DC1B" w14:textId="77777777" w:rsidR="004F71A7" w:rsidRPr="00BF6766" w:rsidRDefault="00000000" w:rsidP="004F71A7">
      <w:pPr>
        <w:jc w:val="both"/>
        <w:rPr>
          <w:lang w:val="fr-FR"/>
        </w:rPr>
      </w:pPr>
      <w:r>
        <w:rPr>
          <w:rFonts w:eastAsia="Liberation Serif"/>
          <w:lang w:val="fr-FR"/>
        </w:rPr>
        <w:t xml:space="preserve">Les engagements opérationnels que </w:t>
      </w:r>
      <w:r>
        <w:rPr>
          <w:rFonts w:eastAsia="Liberation Serif"/>
          <w:b/>
          <w:bCs/>
          <w:lang w:val="fr-FR"/>
        </w:rPr>
        <w:t>Brambati SpA</w:t>
      </w:r>
      <w:r>
        <w:rPr>
          <w:rFonts w:eastAsia="Liberation Serif"/>
          <w:lang w:val="fr-FR"/>
        </w:rPr>
        <w:t xml:space="preserve"> prend en matière d’approvisionnement durable comprennent :</w:t>
      </w:r>
    </w:p>
    <w:p w14:paraId="02C0A43F" w14:textId="77777777" w:rsidR="004F71A7" w:rsidRPr="00BF6766" w:rsidRDefault="004F71A7" w:rsidP="004F71A7">
      <w:pPr>
        <w:jc w:val="both"/>
        <w:rPr>
          <w:lang w:val="fr-FR"/>
        </w:rPr>
      </w:pPr>
    </w:p>
    <w:p w14:paraId="3369AD59" w14:textId="77777777" w:rsidR="004F71A7" w:rsidRPr="00BF6766" w:rsidRDefault="00000000" w:rsidP="004F71A7">
      <w:pPr>
        <w:pStyle w:val="Paragrafoelenco"/>
        <w:numPr>
          <w:ilvl w:val="0"/>
          <w:numId w:val="11"/>
        </w:numPr>
        <w:jc w:val="both"/>
        <w:rPr>
          <w:lang w:val="fr-FR"/>
        </w:rPr>
      </w:pPr>
      <w:r>
        <w:rPr>
          <w:rFonts w:eastAsia="Liberation Serif"/>
          <w:szCs w:val="24"/>
          <w:lang w:val="fr-FR"/>
        </w:rPr>
        <w:lastRenderedPageBreak/>
        <w:t>Inclure les critères ESG et de développement durable dans la sélection et l’évaluation des fournisseurs ;</w:t>
      </w:r>
    </w:p>
    <w:p w14:paraId="782C0C78" w14:textId="77777777" w:rsidR="004F71A7" w:rsidRPr="00BF6766" w:rsidRDefault="00000000" w:rsidP="004F71A7">
      <w:pPr>
        <w:pStyle w:val="Paragrafoelenco"/>
        <w:numPr>
          <w:ilvl w:val="0"/>
          <w:numId w:val="11"/>
        </w:numPr>
        <w:jc w:val="both"/>
        <w:rPr>
          <w:lang w:val="fr-FR"/>
        </w:rPr>
      </w:pPr>
      <w:r>
        <w:rPr>
          <w:rFonts w:eastAsia="Liberation Serif"/>
          <w:szCs w:val="24"/>
          <w:lang w:val="fr-FR"/>
        </w:rPr>
        <w:t>Privilégier les fournisseurs qui adoptent des procédures éthiques, durables et certifiées (Ecovadis, SA8000, ISO 14001, etc.) ;</w:t>
      </w:r>
    </w:p>
    <w:p w14:paraId="4CE73FF8" w14:textId="77777777" w:rsidR="004F71A7" w:rsidRPr="00BF6766" w:rsidRDefault="00000000" w:rsidP="004F71A7">
      <w:pPr>
        <w:pStyle w:val="Paragrafoelenco"/>
        <w:numPr>
          <w:ilvl w:val="0"/>
          <w:numId w:val="11"/>
        </w:numPr>
        <w:jc w:val="both"/>
        <w:rPr>
          <w:lang w:val="fr-FR"/>
        </w:rPr>
      </w:pPr>
      <w:r>
        <w:rPr>
          <w:rFonts w:eastAsia="Liberation Serif"/>
          <w:szCs w:val="24"/>
          <w:lang w:val="fr-FR"/>
        </w:rPr>
        <w:t>Promouvoir les achats sur les marchés locaux pour réduire les émissions liées au transport et soutenir les économies locales ;</w:t>
      </w:r>
    </w:p>
    <w:p w14:paraId="5E8DE7FB" w14:textId="77777777" w:rsidR="004F71A7" w:rsidRPr="00BF6766" w:rsidRDefault="00000000" w:rsidP="004F71A7">
      <w:pPr>
        <w:pStyle w:val="Paragrafoelenco"/>
        <w:numPr>
          <w:ilvl w:val="0"/>
          <w:numId w:val="11"/>
        </w:numPr>
        <w:jc w:val="both"/>
        <w:rPr>
          <w:lang w:val="fr-FR"/>
        </w:rPr>
      </w:pPr>
      <w:r>
        <w:rPr>
          <w:rFonts w:eastAsia="Liberation Serif"/>
          <w:szCs w:val="24"/>
          <w:lang w:val="fr-FR"/>
        </w:rPr>
        <w:t>Acheter des biens et des services qui répondent aux normes environnementales reconnues, avec une attention particulière aux matériaux recyclés ou recyclables ;</w:t>
      </w:r>
    </w:p>
    <w:p w14:paraId="05096EB0" w14:textId="77777777" w:rsidR="004F71A7" w:rsidRPr="00BF6766" w:rsidRDefault="00000000" w:rsidP="004F71A7">
      <w:pPr>
        <w:pStyle w:val="Paragrafoelenco"/>
        <w:numPr>
          <w:ilvl w:val="0"/>
          <w:numId w:val="11"/>
        </w:numPr>
        <w:jc w:val="both"/>
        <w:rPr>
          <w:lang w:val="fr-FR"/>
        </w:rPr>
      </w:pPr>
      <w:r>
        <w:rPr>
          <w:rFonts w:eastAsia="Liberation Serif"/>
          <w:szCs w:val="24"/>
          <w:lang w:val="fr-FR"/>
        </w:rPr>
        <w:t>Éviter les produits nocifs pour l’environnement lorsque des alternatives plus durables existent ;</w:t>
      </w:r>
    </w:p>
    <w:p w14:paraId="55E81BFF" w14:textId="77777777" w:rsidR="004F71A7" w:rsidRPr="00BF6766" w:rsidRDefault="00000000" w:rsidP="004F71A7">
      <w:pPr>
        <w:pStyle w:val="Paragrafoelenco"/>
        <w:numPr>
          <w:ilvl w:val="0"/>
          <w:numId w:val="11"/>
        </w:numPr>
        <w:jc w:val="both"/>
        <w:rPr>
          <w:lang w:val="fr-FR"/>
        </w:rPr>
      </w:pPr>
      <w:r>
        <w:rPr>
          <w:rFonts w:eastAsia="Liberation Serif"/>
          <w:szCs w:val="24"/>
          <w:lang w:val="fr-FR"/>
        </w:rPr>
        <w:t>Promouvoir la sensibilisation au développement durable parmi les partenaires de la chaîne d’approvisionnement, en les encourageant à adopter des procédures responsables ;</w:t>
      </w:r>
    </w:p>
    <w:p w14:paraId="4486D91B" w14:textId="77777777" w:rsidR="004F71A7" w:rsidRPr="00BF6766" w:rsidRDefault="00000000" w:rsidP="004F71A7">
      <w:pPr>
        <w:pStyle w:val="Paragrafoelenco"/>
        <w:numPr>
          <w:ilvl w:val="0"/>
          <w:numId w:val="11"/>
        </w:numPr>
        <w:jc w:val="both"/>
        <w:rPr>
          <w:lang w:val="fr-FR"/>
        </w:rPr>
      </w:pPr>
      <w:r>
        <w:rPr>
          <w:rFonts w:eastAsia="Liberation Serif"/>
          <w:szCs w:val="24"/>
          <w:lang w:val="fr-FR"/>
        </w:rPr>
        <w:t>Suivre périodiquement les fournisseurs en effectuant des audits et des contrôles de conformité aux politiques de l'entreprise ;</w:t>
      </w:r>
    </w:p>
    <w:p w14:paraId="0443C7FD" w14:textId="77777777" w:rsidR="004F71A7" w:rsidRPr="00BF6766" w:rsidRDefault="00000000" w:rsidP="004F71A7">
      <w:pPr>
        <w:pStyle w:val="Paragrafoelenco"/>
        <w:numPr>
          <w:ilvl w:val="0"/>
          <w:numId w:val="11"/>
        </w:numPr>
        <w:jc w:val="both"/>
        <w:rPr>
          <w:lang w:val="fr-FR"/>
        </w:rPr>
      </w:pPr>
      <w:r>
        <w:rPr>
          <w:rFonts w:eastAsia="Liberation Serif"/>
          <w:szCs w:val="24"/>
          <w:lang w:val="fr-FR"/>
        </w:rPr>
        <w:t>Réduire progressivement l’impact des livraisons et optimiser le transport avec une approche neutre en carbone.</w:t>
      </w:r>
    </w:p>
    <w:p w14:paraId="375BECF5" w14:textId="77777777" w:rsidR="004F71A7" w:rsidRPr="00BF6766" w:rsidRDefault="00000000" w:rsidP="004F71A7">
      <w:pPr>
        <w:pStyle w:val="Titolo2"/>
        <w:jc w:val="both"/>
        <w:rPr>
          <w:rFonts w:ascii="Liberation Serif" w:eastAsia="Noto Sans CJK SC Regular" w:hAnsi="Liberation Serif" w:cs="FreeSans"/>
          <w:color w:val="auto"/>
          <w:sz w:val="24"/>
          <w:szCs w:val="24"/>
          <w:lang w:val="fr-FR" w:eastAsia="zh-CN" w:bidi="hi-IN"/>
        </w:rPr>
      </w:pPr>
      <w:r>
        <w:rPr>
          <w:rFonts w:ascii="Liberation Serif" w:eastAsia="Liberation Serif" w:hAnsi="Liberation Serif" w:cs="FreeSans"/>
          <w:color w:val="auto"/>
          <w:sz w:val="24"/>
          <w:szCs w:val="24"/>
          <w:lang w:val="fr-FR" w:eastAsia="zh-CN" w:bidi="hi-IN"/>
        </w:rPr>
        <w:t>Suivi et transparence</w:t>
      </w:r>
    </w:p>
    <w:p w14:paraId="5C9E47BF" w14:textId="77777777" w:rsidR="004F71A7" w:rsidRPr="00BF6766" w:rsidRDefault="00000000" w:rsidP="004F71A7">
      <w:pPr>
        <w:jc w:val="both"/>
        <w:rPr>
          <w:lang w:val="fr-FR"/>
        </w:rPr>
      </w:pPr>
      <w:r>
        <w:rPr>
          <w:rFonts w:eastAsia="Liberation Serif"/>
          <w:b/>
          <w:bCs/>
          <w:lang w:val="fr-FR"/>
        </w:rPr>
        <w:t>Brambati SpA</w:t>
      </w:r>
      <w:r>
        <w:rPr>
          <w:rFonts w:eastAsia="Liberation Serif"/>
          <w:lang w:val="fr-FR"/>
        </w:rPr>
        <w:t xml:space="preserve"> assure un suivi régulier des engagements pris à travers les éléments suivants :</w:t>
      </w:r>
    </w:p>
    <w:p w14:paraId="3F3354EF" w14:textId="77777777" w:rsidR="004F71A7" w:rsidRPr="00BF6766" w:rsidRDefault="004F71A7" w:rsidP="004F71A7">
      <w:pPr>
        <w:jc w:val="both"/>
        <w:rPr>
          <w:lang w:val="fr-FR"/>
        </w:rPr>
      </w:pPr>
    </w:p>
    <w:p w14:paraId="2F4E39E7" w14:textId="77777777" w:rsidR="004F71A7" w:rsidRPr="00BF6766" w:rsidRDefault="00000000" w:rsidP="004F71A7">
      <w:pPr>
        <w:pStyle w:val="Paragrafoelenco"/>
        <w:numPr>
          <w:ilvl w:val="0"/>
          <w:numId w:val="12"/>
        </w:numPr>
        <w:jc w:val="both"/>
        <w:rPr>
          <w:lang w:val="fr-FR"/>
        </w:rPr>
      </w:pPr>
      <w:r>
        <w:rPr>
          <w:rFonts w:eastAsia="Liberation Serif"/>
          <w:szCs w:val="24"/>
          <w:lang w:val="fr-FR"/>
        </w:rPr>
        <w:t>Définition des KPI environnementaux et sociaux de la chaîne d'approvisionnement ;</w:t>
      </w:r>
    </w:p>
    <w:p w14:paraId="67102E07" w14:textId="77777777" w:rsidR="004F71A7" w:rsidRPr="00BF6766" w:rsidRDefault="00000000" w:rsidP="004F71A7">
      <w:pPr>
        <w:pStyle w:val="Paragrafoelenco"/>
        <w:numPr>
          <w:ilvl w:val="0"/>
          <w:numId w:val="12"/>
        </w:numPr>
        <w:jc w:val="both"/>
        <w:rPr>
          <w:lang w:val="fr-FR"/>
        </w:rPr>
      </w:pPr>
      <w:r>
        <w:rPr>
          <w:rFonts w:eastAsia="Liberation Serif"/>
          <w:szCs w:val="24"/>
          <w:lang w:val="fr-FR"/>
        </w:rPr>
        <w:t>Audits internes et externes pour vérifier la mise en œuvre effective des normes des achats durables ;</w:t>
      </w:r>
    </w:p>
    <w:p w14:paraId="72C2BDF2" w14:textId="77777777" w:rsidR="004F71A7" w:rsidRPr="00BF6766" w:rsidRDefault="00000000" w:rsidP="004F71A7">
      <w:pPr>
        <w:pStyle w:val="Paragrafoelenco"/>
        <w:numPr>
          <w:ilvl w:val="0"/>
          <w:numId w:val="12"/>
        </w:numPr>
        <w:jc w:val="both"/>
        <w:rPr>
          <w:lang w:val="fr-FR"/>
        </w:rPr>
      </w:pPr>
      <w:r>
        <w:rPr>
          <w:rFonts w:eastAsia="Liberation Serif"/>
          <w:szCs w:val="24"/>
          <w:lang w:val="fr-FR"/>
        </w:rPr>
        <w:t>Communication transparente des résultats aux parties prenantes au travers de rapports ESG et de rapports de durabilité ;</w:t>
      </w:r>
    </w:p>
    <w:p w14:paraId="33FDF356" w14:textId="77777777" w:rsidR="004F71A7" w:rsidRPr="00BF6766" w:rsidRDefault="00000000" w:rsidP="004F71A7">
      <w:pPr>
        <w:pStyle w:val="Paragrafoelenco"/>
        <w:numPr>
          <w:ilvl w:val="0"/>
          <w:numId w:val="12"/>
        </w:numPr>
        <w:jc w:val="both"/>
        <w:rPr>
          <w:lang w:val="fr-FR"/>
        </w:rPr>
      </w:pPr>
      <w:r>
        <w:rPr>
          <w:rFonts w:eastAsia="Liberation Serif"/>
          <w:szCs w:val="24"/>
          <w:lang w:val="fr-FR"/>
        </w:rPr>
        <w:t>Implication de la Direction et des partenaires clés dans un processus d’amélioration continue.</w:t>
      </w:r>
    </w:p>
    <w:p w14:paraId="306CFEFD" w14:textId="77777777" w:rsidR="004F71A7" w:rsidRPr="00BF6766" w:rsidRDefault="004F71A7" w:rsidP="004F71A7">
      <w:pPr>
        <w:jc w:val="both"/>
        <w:rPr>
          <w:lang w:val="fr-FR"/>
        </w:rPr>
      </w:pPr>
    </w:p>
    <w:p w14:paraId="607EF418" w14:textId="77777777" w:rsidR="004F71A7" w:rsidRPr="00BF6766" w:rsidRDefault="00000000" w:rsidP="004F71A7">
      <w:pPr>
        <w:jc w:val="both"/>
        <w:rPr>
          <w:lang w:val="fr-FR"/>
        </w:rPr>
      </w:pPr>
      <w:r>
        <w:rPr>
          <w:rFonts w:eastAsia="Liberation Serif"/>
          <w:lang w:val="fr-FR"/>
        </w:rPr>
        <w:t xml:space="preserve">Cette Politique des Achats Durables s’intègre à toutes les autres Politiques et Lignes Directrices adoptées par </w:t>
      </w:r>
      <w:r>
        <w:rPr>
          <w:rFonts w:eastAsia="Liberation Serif"/>
          <w:b/>
          <w:bCs/>
          <w:lang w:val="fr-FR"/>
        </w:rPr>
        <w:t>Brambati SpA</w:t>
      </w:r>
      <w:r>
        <w:rPr>
          <w:rFonts w:eastAsia="Liberation Serif"/>
          <w:lang w:val="fr-FR"/>
        </w:rPr>
        <w:t xml:space="preserve"> et représente un engagement concret visant à garantir que les aspects environnementaux, sociaux et économiques soient toujours pris en compte dans les décisions d’approvisionnement. La Politique est publiée sur le site Web de l’entreprise afin d’assurer une diffusion maximale à toutes les parties prenantes et est périodiquement révisée par la Direction pour garantir son efficacité, son adéquation et sa cohérence.</w:t>
      </w:r>
    </w:p>
    <w:p w14:paraId="016721CD" w14:textId="77777777" w:rsidR="00F12CBA" w:rsidRPr="00BF6766" w:rsidRDefault="00F12CBA" w:rsidP="00EE1EC2">
      <w:pPr>
        <w:jc w:val="both"/>
        <w:rPr>
          <w:lang w:val="fr-FR"/>
        </w:rPr>
      </w:pPr>
    </w:p>
    <w:p w14:paraId="6C886A38" w14:textId="77777777" w:rsidR="007B0CF9" w:rsidRPr="00BF6766" w:rsidRDefault="00000000">
      <w:pPr>
        <w:jc w:val="both"/>
        <w:rPr>
          <w:lang w:val="fr-FR"/>
        </w:rPr>
      </w:pPr>
      <w:r w:rsidRPr="00BF6766">
        <w:rPr>
          <w:lang w:val="fr-FR"/>
        </w:rPr>
        <w:t xml:space="preserve"> </w:t>
      </w:r>
    </w:p>
    <w:p w14:paraId="485FE1C0" w14:textId="77777777" w:rsidR="007B0CF9" w:rsidRPr="00BF6766" w:rsidRDefault="007B0CF9">
      <w:pPr>
        <w:jc w:val="both"/>
        <w:rPr>
          <w:sz w:val="28"/>
          <w:szCs w:val="28"/>
          <w:lang w:val="fr-FR"/>
        </w:rPr>
      </w:pPr>
    </w:p>
    <w:p w14:paraId="21646E6D" w14:textId="77777777" w:rsidR="007B0CF9" w:rsidRPr="00BF6766" w:rsidRDefault="00000000">
      <w:pPr>
        <w:jc w:val="both"/>
        <w:rPr>
          <w:lang w:val="fr-FR"/>
        </w:rPr>
      </w:pPr>
      <w:r>
        <w:rPr>
          <w:rFonts w:eastAsia="Liberation Serif"/>
          <w:lang w:val="fr-FR"/>
        </w:rPr>
        <w:tab/>
        <w:t xml:space="preserve">     Date</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 xml:space="preserve"> Direction </w:t>
      </w:r>
      <w:r>
        <w:rPr>
          <w:rFonts w:eastAsia="Liberation Serif"/>
          <w:b/>
          <w:bCs/>
          <w:lang w:val="fr-FR"/>
        </w:rPr>
        <w:t>Brambati SpA</w:t>
      </w:r>
    </w:p>
    <w:p w14:paraId="24ECFFC0" w14:textId="77777777" w:rsidR="007B0CF9" w:rsidRPr="00BF6766" w:rsidRDefault="007B0CF9">
      <w:pPr>
        <w:jc w:val="both"/>
        <w:rPr>
          <w:lang w:val="fr-FR"/>
        </w:rPr>
      </w:pPr>
    </w:p>
    <w:p w14:paraId="331C2C69" w14:textId="77777777" w:rsidR="007B0CF9" w:rsidRPr="00BF6766" w:rsidRDefault="00000000">
      <w:pPr>
        <w:jc w:val="both"/>
        <w:rPr>
          <w:lang w:val="fr-FR"/>
        </w:rPr>
      </w:pPr>
      <w:r>
        <w:rPr>
          <w:rFonts w:eastAsia="Liberation Serif"/>
          <w:lang w:val="fr-FR"/>
        </w:rPr>
        <w:t>Codevilla, le 01/09/2025</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p>
    <w:sectPr w:rsidR="007B0CF9" w:rsidRPr="00BF6766"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3385" w14:textId="77777777" w:rsidR="00132CB6" w:rsidRDefault="00132CB6">
      <w:r>
        <w:separator/>
      </w:r>
    </w:p>
  </w:endnote>
  <w:endnote w:type="continuationSeparator" w:id="0">
    <w:p w14:paraId="5C19EFF3" w14:textId="77777777" w:rsidR="00132CB6" w:rsidRDefault="0013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6F77" w14:textId="77777777" w:rsidR="00612477" w:rsidRPr="00BF6766" w:rsidRDefault="00000000">
    <w:pPr>
      <w:pStyle w:val="Pidipagina"/>
      <w:rPr>
        <w:sz w:val="16"/>
        <w:szCs w:val="16"/>
        <w:lang w:val="fr-FR"/>
      </w:rPr>
    </w:pPr>
    <w:r>
      <w:rPr>
        <w:rFonts w:eastAsia="Liberation Serif"/>
        <w:sz w:val="16"/>
        <w:szCs w:val="16"/>
        <w:lang w:val="fr-FR"/>
      </w:rPr>
      <w:t>Politique des Achats Durables, rév. 2</w:t>
    </w:r>
  </w:p>
  <w:p w14:paraId="3E540644" w14:textId="77777777" w:rsidR="00612477" w:rsidRPr="00BF6766" w:rsidRDefault="00612477">
    <w:pPr>
      <w:pStyle w:val="Pidipagina"/>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3180" w14:textId="77777777" w:rsidR="00132CB6" w:rsidRDefault="00132CB6">
      <w:r>
        <w:separator/>
      </w:r>
    </w:p>
  </w:footnote>
  <w:footnote w:type="continuationSeparator" w:id="0">
    <w:p w14:paraId="553BC74F" w14:textId="77777777" w:rsidR="00132CB6" w:rsidRDefault="0013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E5D3" w14:textId="0ECEC6E7" w:rsidR="005F2549" w:rsidRDefault="00BF6766" w:rsidP="00BF6766">
    <w:pPr>
      <w:pStyle w:val="Intestazione"/>
      <w:jc w:val="right"/>
    </w:pPr>
    <w:r>
      <w:rPr>
        <w:noProof/>
      </w:rPr>
      <w:drawing>
        <wp:anchor distT="0" distB="0" distL="114300" distR="114300" simplePos="0" relativeHeight="251659264" behindDoc="0" locked="0" layoutInCell="1" allowOverlap="1" wp14:anchorId="22619E4E" wp14:editId="2DB14072">
          <wp:simplePos x="0" y="0"/>
          <wp:positionH relativeFrom="page">
            <wp:align>right</wp:align>
          </wp:positionH>
          <wp:positionV relativeFrom="paragraph">
            <wp:posOffset>18415</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46C7C2B" wp14:editId="04278CE9">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50564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F6342D"/>
    <w:multiLevelType w:val="hybridMultilevel"/>
    <w:tmpl w:val="E65E234A"/>
    <w:lvl w:ilvl="0" w:tplc="3A7AD4D6">
      <w:start w:val="1"/>
      <w:numFmt w:val="bullet"/>
      <w:lvlText w:val=""/>
      <w:lvlJc w:val="left"/>
      <w:pPr>
        <w:ind w:left="720" w:hanging="360"/>
      </w:pPr>
      <w:rPr>
        <w:rFonts w:ascii="Symbol" w:hAnsi="Symbol" w:hint="default"/>
      </w:rPr>
    </w:lvl>
    <w:lvl w:ilvl="1" w:tplc="95C075C8" w:tentative="1">
      <w:start w:val="1"/>
      <w:numFmt w:val="bullet"/>
      <w:lvlText w:val="o"/>
      <w:lvlJc w:val="left"/>
      <w:pPr>
        <w:ind w:left="1440" w:hanging="360"/>
      </w:pPr>
      <w:rPr>
        <w:rFonts w:ascii="Courier New" w:hAnsi="Courier New" w:hint="default"/>
      </w:rPr>
    </w:lvl>
    <w:lvl w:ilvl="2" w:tplc="01F8D10A" w:tentative="1">
      <w:start w:val="1"/>
      <w:numFmt w:val="bullet"/>
      <w:lvlText w:val=""/>
      <w:lvlJc w:val="left"/>
      <w:pPr>
        <w:ind w:left="2160" w:hanging="360"/>
      </w:pPr>
      <w:rPr>
        <w:rFonts w:ascii="Wingdings" w:hAnsi="Wingdings" w:hint="default"/>
      </w:rPr>
    </w:lvl>
    <w:lvl w:ilvl="3" w:tplc="20C0E88E" w:tentative="1">
      <w:start w:val="1"/>
      <w:numFmt w:val="bullet"/>
      <w:lvlText w:val=""/>
      <w:lvlJc w:val="left"/>
      <w:pPr>
        <w:ind w:left="2880" w:hanging="360"/>
      </w:pPr>
      <w:rPr>
        <w:rFonts w:ascii="Symbol" w:hAnsi="Symbol" w:hint="default"/>
      </w:rPr>
    </w:lvl>
    <w:lvl w:ilvl="4" w:tplc="38F6BDC0" w:tentative="1">
      <w:start w:val="1"/>
      <w:numFmt w:val="bullet"/>
      <w:lvlText w:val="o"/>
      <w:lvlJc w:val="left"/>
      <w:pPr>
        <w:ind w:left="3600" w:hanging="360"/>
      </w:pPr>
      <w:rPr>
        <w:rFonts w:ascii="Courier New" w:hAnsi="Courier New" w:hint="default"/>
      </w:rPr>
    </w:lvl>
    <w:lvl w:ilvl="5" w:tplc="275C76CC" w:tentative="1">
      <w:start w:val="1"/>
      <w:numFmt w:val="bullet"/>
      <w:lvlText w:val=""/>
      <w:lvlJc w:val="left"/>
      <w:pPr>
        <w:ind w:left="4320" w:hanging="360"/>
      </w:pPr>
      <w:rPr>
        <w:rFonts w:ascii="Wingdings" w:hAnsi="Wingdings" w:hint="default"/>
      </w:rPr>
    </w:lvl>
    <w:lvl w:ilvl="6" w:tplc="07A829DA" w:tentative="1">
      <w:start w:val="1"/>
      <w:numFmt w:val="bullet"/>
      <w:lvlText w:val=""/>
      <w:lvlJc w:val="left"/>
      <w:pPr>
        <w:ind w:left="5040" w:hanging="360"/>
      </w:pPr>
      <w:rPr>
        <w:rFonts w:ascii="Symbol" w:hAnsi="Symbol" w:hint="default"/>
      </w:rPr>
    </w:lvl>
    <w:lvl w:ilvl="7" w:tplc="040A60A4" w:tentative="1">
      <w:start w:val="1"/>
      <w:numFmt w:val="bullet"/>
      <w:lvlText w:val="o"/>
      <w:lvlJc w:val="left"/>
      <w:pPr>
        <w:ind w:left="5760" w:hanging="360"/>
      </w:pPr>
      <w:rPr>
        <w:rFonts w:ascii="Courier New" w:hAnsi="Courier New" w:hint="default"/>
      </w:rPr>
    </w:lvl>
    <w:lvl w:ilvl="8" w:tplc="CD18A954" w:tentative="1">
      <w:start w:val="1"/>
      <w:numFmt w:val="bullet"/>
      <w:lvlText w:val=""/>
      <w:lvlJc w:val="left"/>
      <w:pPr>
        <w:ind w:left="6480" w:hanging="360"/>
      </w:pPr>
      <w:rPr>
        <w:rFonts w:ascii="Wingdings" w:hAnsi="Wingdings" w:hint="default"/>
      </w:rPr>
    </w:lvl>
  </w:abstractNum>
  <w:abstractNum w:abstractNumId="2" w15:restartNumberingAfterBreak="0">
    <w:nsid w:val="04ED1544"/>
    <w:multiLevelType w:val="hybridMultilevel"/>
    <w:tmpl w:val="FC60B20C"/>
    <w:lvl w:ilvl="0" w:tplc="50846C3E">
      <w:start w:val="1"/>
      <w:numFmt w:val="bullet"/>
      <w:lvlText w:val=""/>
      <w:lvlJc w:val="left"/>
      <w:pPr>
        <w:ind w:left="720" w:hanging="360"/>
      </w:pPr>
      <w:rPr>
        <w:rFonts w:ascii="Symbol" w:hAnsi="Symbol" w:hint="default"/>
      </w:rPr>
    </w:lvl>
    <w:lvl w:ilvl="1" w:tplc="FBE426AE" w:tentative="1">
      <w:start w:val="1"/>
      <w:numFmt w:val="bullet"/>
      <w:lvlText w:val="o"/>
      <w:lvlJc w:val="left"/>
      <w:pPr>
        <w:ind w:left="1440" w:hanging="360"/>
      </w:pPr>
      <w:rPr>
        <w:rFonts w:ascii="Courier New" w:hAnsi="Courier New" w:cs="Courier New" w:hint="default"/>
      </w:rPr>
    </w:lvl>
    <w:lvl w:ilvl="2" w:tplc="463A987A" w:tentative="1">
      <w:start w:val="1"/>
      <w:numFmt w:val="bullet"/>
      <w:lvlText w:val=""/>
      <w:lvlJc w:val="left"/>
      <w:pPr>
        <w:ind w:left="2160" w:hanging="360"/>
      </w:pPr>
      <w:rPr>
        <w:rFonts w:ascii="Wingdings" w:hAnsi="Wingdings" w:hint="default"/>
      </w:rPr>
    </w:lvl>
    <w:lvl w:ilvl="3" w:tplc="29420ECC" w:tentative="1">
      <w:start w:val="1"/>
      <w:numFmt w:val="bullet"/>
      <w:lvlText w:val=""/>
      <w:lvlJc w:val="left"/>
      <w:pPr>
        <w:ind w:left="2880" w:hanging="360"/>
      </w:pPr>
      <w:rPr>
        <w:rFonts w:ascii="Symbol" w:hAnsi="Symbol" w:hint="default"/>
      </w:rPr>
    </w:lvl>
    <w:lvl w:ilvl="4" w:tplc="0C8EEC4E" w:tentative="1">
      <w:start w:val="1"/>
      <w:numFmt w:val="bullet"/>
      <w:lvlText w:val="o"/>
      <w:lvlJc w:val="left"/>
      <w:pPr>
        <w:ind w:left="3600" w:hanging="360"/>
      </w:pPr>
      <w:rPr>
        <w:rFonts w:ascii="Courier New" w:hAnsi="Courier New" w:cs="Courier New" w:hint="default"/>
      </w:rPr>
    </w:lvl>
    <w:lvl w:ilvl="5" w:tplc="F60851E6" w:tentative="1">
      <w:start w:val="1"/>
      <w:numFmt w:val="bullet"/>
      <w:lvlText w:val=""/>
      <w:lvlJc w:val="left"/>
      <w:pPr>
        <w:ind w:left="4320" w:hanging="360"/>
      </w:pPr>
      <w:rPr>
        <w:rFonts w:ascii="Wingdings" w:hAnsi="Wingdings" w:hint="default"/>
      </w:rPr>
    </w:lvl>
    <w:lvl w:ilvl="6" w:tplc="47D4F450" w:tentative="1">
      <w:start w:val="1"/>
      <w:numFmt w:val="bullet"/>
      <w:lvlText w:val=""/>
      <w:lvlJc w:val="left"/>
      <w:pPr>
        <w:ind w:left="5040" w:hanging="360"/>
      </w:pPr>
      <w:rPr>
        <w:rFonts w:ascii="Symbol" w:hAnsi="Symbol" w:hint="default"/>
      </w:rPr>
    </w:lvl>
    <w:lvl w:ilvl="7" w:tplc="2CFC2EF4" w:tentative="1">
      <w:start w:val="1"/>
      <w:numFmt w:val="bullet"/>
      <w:lvlText w:val="o"/>
      <w:lvlJc w:val="left"/>
      <w:pPr>
        <w:ind w:left="5760" w:hanging="360"/>
      </w:pPr>
      <w:rPr>
        <w:rFonts w:ascii="Courier New" w:hAnsi="Courier New" w:cs="Courier New" w:hint="default"/>
      </w:rPr>
    </w:lvl>
    <w:lvl w:ilvl="8" w:tplc="911A3A06" w:tentative="1">
      <w:start w:val="1"/>
      <w:numFmt w:val="bullet"/>
      <w:lvlText w:val=""/>
      <w:lvlJc w:val="left"/>
      <w:pPr>
        <w:ind w:left="6480" w:hanging="360"/>
      </w:pPr>
      <w:rPr>
        <w:rFonts w:ascii="Wingdings" w:hAnsi="Wingdings" w:hint="default"/>
      </w:rPr>
    </w:lvl>
  </w:abstractNum>
  <w:abstractNum w:abstractNumId="3" w15:restartNumberingAfterBreak="0">
    <w:nsid w:val="0D4F502E"/>
    <w:multiLevelType w:val="hybridMultilevel"/>
    <w:tmpl w:val="8A4E365C"/>
    <w:lvl w:ilvl="0" w:tplc="FA1E0228">
      <w:start w:val="1"/>
      <w:numFmt w:val="bullet"/>
      <w:lvlText w:val=""/>
      <w:lvlJc w:val="left"/>
      <w:pPr>
        <w:ind w:left="720" w:hanging="360"/>
      </w:pPr>
      <w:rPr>
        <w:rFonts w:ascii="Symbol" w:hAnsi="Symbol" w:hint="default"/>
      </w:rPr>
    </w:lvl>
    <w:lvl w:ilvl="1" w:tplc="F7C268A8" w:tentative="1">
      <w:start w:val="1"/>
      <w:numFmt w:val="bullet"/>
      <w:lvlText w:val="o"/>
      <w:lvlJc w:val="left"/>
      <w:pPr>
        <w:ind w:left="1440" w:hanging="360"/>
      </w:pPr>
      <w:rPr>
        <w:rFonts w:ascii="Courier New" w:hAnsi="Courier New" w:cs="Courier New" w:hint="default"/>
      </w:rPr>
    </w:lvl>
    <w:lvl w:ilvl="2" w:tplc="94BA24DC" w:tentative="1">
      <w:start w:val="1"/>
      <w:numFmt w:val="bullet"/>
      <w:lvlText w:val=""/>
      <w:lvlJc w:val="left"/>
      <w:pPr>
        <w:ind w:left="2160" w:hanging="360"/>
      </w:pPr>
      <w:rPr>
        <w:rFonts w:ascii="Wingdings" w:hAnsi="Wingdings" w:hint="default"/>
      </w:rPr>
    </w:lvl>
    <w:lvl w:ilvl="3" w:tplc="84AA0480" w:tentative="1">
      <w:start w:val="1"/>
      <w:numFmt w:val="bullet"/>
      <w:lvlText w:val=""/>
      <w:lvlJc w:val="left"/>
      <w:pPr>
        <w:ind w:left="2880" w:hanging="360"/>
      </w:pPr>
      <w:rPr>
        <w:rFonts w:ascii="Symbol" w:hAnsi="Symbol" w:hint="default"/>
      </w:rPr>
    </w:lvl>
    <w:lvl w:ilvl="4" w:tplc="2164458C" w:tentative="1">
      <w:start w:val="1"/>
      <w:numFmt w:val="bullet"/>
      <w:lvlText w:val="o"/>
      <w:lvlJc w:val="left"/>
      <w:pPr>
        <w:ind w:left="3600" w:hanging="360"/>
      </w:pPr>
      <w:rPr>
        <w:rFonts w:ascii="Courier New" w:hAnsi="Courier New" w:cs="Courier New" w:hint="default"/>
      </w:rPr>
    </w:lvl>
    <w:lvl w:ilvl="5" w:tplc="8FF8B566" w:tentative="1">
      <w:start w:val="1"/>
      <w:numFmt w:val="bullet"/>
      <w:lvlText w:val=""/>
      <w:lvlJc w:val="left"/>
      <w:pPr>
        <w:ind w:left="4320" w:hanging="360"/>
      </w:pPr>
      <w:rPr>
        <w:rFonts w:ascii="Wingdings" w:hAnsi="Wingdings" w:hint="default"/>
      </w:rPr>
    </w:lvl>
    <w:lvl w:ilvl="6" w:tplc="770A466E" w:tentative="1">
      <w:start w:val="1"/>
      <w:numFmt w:val="bullet"/>
      <w:lvlText w:val=""/>
      <w:lvlJc w:val="left"/>
      <w:pPr>
        <w:ind w:left="5040" w:hanging="360"/>
      </w:pPr>
      <w:rPr>
        <w:rFonts w:ascii="Symbol" w:hAnsi="Symbol" w:hint="default"/>
      </w:rPr>
    </w:lvl>
    <w:lvl w:ilvl="7" w:tplc="5538D95E" w:tentative="1">
      <w:start w:val="1"/>
      <w:numFmt w:val="bullet"/>
      <w:lvlText w:val="o"/>
      <w:lvlJc w:val="left"/>
      <w:pPr>
        <w:ind w:left="5760" w:hanging="360"/>
      </w:pPr>
      <w:rPr>
        <w:rFonts w:ascii="Courier New" w:hAnsi="Courier New" w:cs="Courier New" w:hint="default"/>
      </w:rPr>
    </w:lvl>
    <w:lvl w:ilvl="8" w:tplc="A3E28564" w:tentative="1">
      <w:start w:val="1"/>
      <w:numFmt w:val="bullet"/>
      <w:lvlText w:val=""/>
      <w:lvlJc w:val="left"/>
      <w:pPr>
        <w:ind w:left="6480" w:hanging="360"/>
      </w:pPr>
      <w:rPr>
        <w:rFonts w:ascii="Wingdings" w:hAnsi="Wingdings" w:hint="default"/>
      </w:rPr>
    </w:lvl>
  </w:abstractNum>
  <w:abstractNum w:abstractNumId="4" w15:restartNumberingAfterBreak="0">
    <w:nsid w:val="0E86685B"/>
    <w:multiLevelType w:val="hybridMultilevel"/>
    <w:tmpl w:val="8F867274"/>
    <w:lvl w:ilvl="0" w:tplc="28209FF8">
      <w:start w:val="1"/>
      <w:numFmt w:val="bullet"/>
      <w:lvlText w:val=""/>
      <w:lvlJc w:val="left"/>
      <w:pPr>
        <w:ind w:left="720" w:hanging="360"/>
      </w:pPr>
      <w:rPr>
        <w:rFonts w:ascii="Symbol" w:hAnsi="Symbol" w:hint="default"/>
      </w:rPr>
    </w:lvl>
    <w:lvl w:ilvl="1" w:tplc="5D6EBFA6" w:tentative="1">
      <w:start w:val="1"/>
      <w:numFmt w:val="bullet"/>
      <w:lvlText w:val="o"/>
      <w:lvlJc w:val="left"/>
      <w:pPr>
        <w:ind w:left="1440" w:hanging="360"/>
      </w:pPr>
      <w:rPr>
        <w:rFonts w:ascii="Courier New" w:hAnsi="Courier New" w:cs="Courier New" w:hint="default"/>
      </w:rPr>
    </w:lvl>
    <w:lvl w:ilvl="2" w:tplc="F620D632" w:tentative="1">
      <w:start w:val="1"/>
      <w:numFmt w:val="bullet"/>
      <w:lvlText w:val=""/>
      <w:lvlJc w:val="left"/>
      <w:pPr>
        <w:ind w:left="2160" w:hanging="360"/>
      </w:pPr>
      <w:rPr>
        <w:rFonts w:ascii="Wingdings" w:hAnsi="Wingdings" w:hint="default"/>
      </w:rPr>
    </w:lvl>
    <w:lvl w:ilvl="3" w:tplc="C18EDADA" w:tentative="1">
      <w:start w:val="1"/>
      <w:numFmt w:val="bullet"/>
      <w:lvlText w:val=""/>
      <w:lvlJc w:val="left"/>
      <w:pPr>
        <w:ind w:left="2880" w:hanging="360"/>
      </w:pPr>
      <w:rPr>
        <w:rFonts w:ascii="Symbol" w:hAnsi="Symbol" w:hint="default"/>
      </w:rPr>
    </w:lvl>
    <w:lvl w:ilvl="4" w:tplc="89AE75E4" w:tentative="1">
      <w:start w:val="1"/>
      <w:numFmt w:val="bullet"/>
      <w:lvlText w:val="o"/>
      <w:lvlJc w:val="left"/>
      <w:pPr>
        <w:ind w:left="3600" w:hanging="360"/>
      </w:pPr>
      <w:rPr>
        <w:rFonts w:ascii="Courier New" w:hAnsi="Courier New" w:cs="Courier New" w:hint="default"/>
      </w:rPr>
    </w:lvl>
    <w:lvl w:ilvl="5" w:tplc="27147840" w:tentative="1">
      <w:start w:val="1"/>
      <w:numFmt w:val="bullet"/>
      <w:lvlText w:val=""/>
      <w:lvlJc w:val="left"/>
      <w:pPr>
        <w:ind w:left="4320" w:hanging="360"/>
      </w:pPr>
      <w:rPr>
        <w:rFonts w:ascii="Wingdings" w:hAnsi="Wingdings" w:hint="default"/>
      </w:rPr>
    </w:lvl>
    <w:lvl w:ilvl="6" w:tplc="D1FAEA96" w:tentative="1">
      <w:start w:val="1"/>
      <w:numFmt w:val="bullet"/>
      <w:lvlText w:val=""/>
      <w:lvlJc w:val="left"/>
      <w:pPr>
        <w:ind w:left="5040" w:hanging="360"/>
      </w:pPr>
      <w:rPr>
        <w:rFonts w:ascii="Symbol" w:hAnsi="Symbol" w:hint="default"/>
      </w:rPr>
    </w:lvl>
    <w:lvl w:ilvl="7" w:tplc="20A22F0C" w:tentative="1">
      <w:start w:val="1"/>
      <w:numFmt w:val="bullet"/>
      <w:lvlText w:val="o"/>
      <w:lvlJc w:val="left"/>
      <w:pPr>
        <w:ind w:left="5760" w:hanging="360"/>
      </w:pPr>
      <w:rPr>
        <w:rFonts w:ascii="Courier New" w:hAnsi="Courier New" w:cs="Courier New" w:hint="default"/>
      </w:rPr>
    </w:lvl>
    <w:lvl w:ilvl="8" w:tplc="23D61C54" w:tentative="1">
      <w:start w:val="1"/>
      <w:numFmt w:val="bullet"/>
      <w:lvlText w:val=""/>
      <w:lvlJc w:val="left"/>
      <w:pPr>
        <w:ind w:left="6480" w:hanging="360"/>
      </w:pPr>
      <w:rPr>
        <w:rFonts w:ascii="Wingdings" w:hAnsi="Wingdings" w:hint="default"/>
      </w:rPr>
    </w:lvl>
  </w:abstractNum>
  <w:abstractNum w:abstractNumId="5"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DC9629E"/>
    <w:multiLevelType w:val="hybridMultilevel"/>
    <w:tmpl w:val="4998D7D2"/>
    <w:lvl w:ilvl="0" w:tplc="0B9491D6">
      <w:start w:val="1"/>
      <w:numFmt w:val="bullet"/>
      <w:lvlText w:val=""/>
      <w:lvlJc w:val="left"/>
      <w:pPr>
        <w:ind w:left="720" w:hanging="360"/>
      </w:pPr>
      <w:rPr>
        <w:rFonts w:ascii="Symbol" w:hAnsi="Symbol" w:hint="default"/>
      </w:rPr>
    </w:lvl>
    <w:lvl w:ilvl="1" w:tplc="5E4E40BA" w:tentative="1">
      <w:start w:val="1"/>
      <w:numFmt w:val="bullet"/>
      <w:lvlText w:val="o"/>
      <w:lvlJc w:val="left"/>
      <w:pPr>
        <w:ind w:left="1440" w:hanging="360"/>
      </w:pPr>
      <w:rPr>
        <w:rFonts w:ascii="Courier New" w:hAnsi="Courier New" w:hint="default"/>
      </w:rPr>
    </w:lvl>
    <w:lvl w:ilvl="2" w:tplc="7A2C4C96" w:tentative="1">
      <w:start w:val="1"/>
      <w:numFmt w:val="bullet"/>
      <w:lvlText w:val=""/>
      <w:lvlJc w:val="left"/>
      <w:pPr>
        <w:ind w:left="2160" w:hanging="360"/>
      </w:pPr>
      <w:rPr>
        <w:rFonts w:ascii="Wingdings" w:hAnsi="Wingdings" w:hint="default"/>
      </w:rPr>
    </w:lvl>
    <w:lvl w:ilvl="3" w:tplc="87065976" w:tentative="1">
      <w:start w:val="1"/>
      <w:numFmt w:val="bullet"/>
      <w:lvlText w:val=""/>
      <w:lvlJc w:val="left"/>
      <w:pPr>
        <w:ind w:left="2880" w:hanging="360"/>
      </w:pPr>
      <w:rPr>
        <w:rFonts w:ascii="Symbol" w:hAnsi="Symbol" w:hint="default"/>
      </w:rPr>
    </w:lvl>
    <w:lvl w:ilvl="4" w:tplc="617A0A86" w:tentative="1">
      <w:start w:val="1"/>
      <w:numFmt w:val="bullet"/>
      <w:lvlText w:val="o"/>
      <w:lvlJc w:val="left"/>
      <w:pPr>
        <w:ind w:left="3600" w:hanging="360"/>
      </w:pPr>
      <w:rPr>
        <w:rFonts w:ascii="Courier New" w:hAnsi="Courier New" w:hint="default"/>
      </w:rPr>
    </w:lvl>
    <w:lvl w:ilvl="5" w:tplc="3796C6A2" w:tentative="1">
      <w:start w:val="1"/>
      <w:numFmt w:val="bullet"/>
      <w:lvlText w:val=""/>
      <w:lvlJc w:val="left"/>
      <w:pPr>
        <w:ind w:left="4320" w:hanging="360"/>
      </w:pPr>
      <w:rPr>
        <w:rFonts w:ascii="Wingdings" w:hAnsi="Wingdings" w:hint="default"/>
      </w:rPr>
    </w:lvl>
    <w:lvl w:ilvl="6" w:tplc="AC1C4C04" w:tentative="1">
      <w:start w:val="1"/>
      <w:numFmt w:val="bullet"/>
      <w:lvlText w:val=""/>
      <w:lvlJc w:val="left"/>
      <w:pPr>
        <w:ind w:left="5040" w:hanging="360"/>
      </w:pPr>
      <w:rPr>
        <w:rFonts w:ascii="Symbol" w:hAnsi="Symbol" w:hint="default"/>
      </w:rPr>
    </w:lvl>
    <w:lvl w:ilvl="7" w:tplc="903CCA8A" w:tentative="1">
      <w:start w:val="1"/>
      <w:numFmt w:val="bullet"/>
      <w:lvlText w:val="o"/>
      <w:lvlJc w:val="left"/>
      <w:pPr>
        <w:ind w:left="5760" w:hanging="360"/>
      </w:pPr>
      <w:rPr>
        <w:rFonts w:ascii="Courier New" w:hAnsi="Courier New" w:hint="default"/>
      </w:rPr>
    </w:lvl>
    <w:lvl w:ilvl="8" w:tplc="A4421B40" w:tentative="1">
      <w:start w:val="1"/>
      <w:numFmt w:val="bullet"/>
      <w:lvlText w:val=""/>
      <w:lvlJc w:val="left"/>
      <w:pPr>
        <w:ind w:left="6480" w:hanging="360"/>
      </w:pPr>
      <w:rPr>
        <w:rFonts w:ascii="Wingdings" w:hAnsi="Wingdings" w:hint="default"/>
      </w:rPr>
    </w:lvl>
  </w:abstractNum>
  <w:abstractNum w:abstractNumId="7" w15:restartNumberingAfterBreak="0">
    <w:nsid w:val="2C61379E"/>
    <w:multiLevelType w:val="hybridMultilevel"/>
    <w:tmpl w:val="CBAAABFC"/>
    <w:lvl w:ilvl="0" w:tplc="93EEA168">
      <w:start w:val="1"/>
      <w:numFmt w:val="bullet"/>
      <w:lvlText w:val=""/>
      <w:lvlJc w:val="left"/>
      <w:pPr>
        <w:ind w:left="720" w:hanging="360"/>
      </w:pPr>
      <w:rPr>
        <w:rFonts w:ascii="Symbol" w:hAnsi="Symbol" w:hint="default"/>
      </w:rPr>
    </w:lvl>
    <w:lvl w:ilvl="1" w:tplc="A2564250" w:tentative="1">
      <w:start w:val="1"/>
      <w:numFmt w:val="bullet"/>
      <w:lvlText w:val="o"/>
      <w:lvlJc w:val="left"/>
      <w:pPr>
        <w:ind w:left="1440" w:hanging="360"/>
      </w:pPr>
      <w:rPr>
        <w:rFonts w:ascii="Courier New" w:hAnsi="Courier New" w:cs="Courier New" w:hint="default"/>
      </w:rPr>
    </w:lvl>
    <w:lvl w:ilvl="2" w:tplc="6218C3D6" w:tentative="1">
      <w:start w:val="1"/>
      <w:numFmt w:val="bullet"/>
      <w:lvlText w:val=""/>
      <w:lvlJc w:val="left"/>
      <w:pPr>
        <w:ind w:left="2160" w:hanging="360"/>
      </w:pPr>
      <w:rPr>
        <w:rFonts w:ascii="Wingdings" w:hAnsi="Wingdings" w:hint="default"/>
      </w:rPr>
    </w:lvl>
    <w:lvl w:ilvl="3" w:tplc="7AAEC788" w:tentative="1">
      <w:start w:val="1"/>
      <w:numFmt w:val="bullet"/>
      <w:lvlText w:val=""/>
      <w:lvlJc w:val="left"/>
      <w:pPr>
        <w:ind w:left="2880" w:hanging="360"/>
      </w:pPr>
      <w:rPr>
        <w:rFonts w:ascii="Symbol" w:hAnsi="Symbol" w:hint="default"/>
      </w:rPr>
    </w:lvl>
    <w:lvl w:ilvl="4" w:tplc="58E47AC8" w:tentative="1">
      <w:start w:val="1"/>
      <w:numFmt w:val="bullet"/>
      <w:lvlText w:val="o"/>
      <w:lvlJc w:val="left"/>
      <w:pPr>
        <w:ind w:left="3600" w:hanging="360"/>
      </w:pPr>
      <w:rPr>
        <w:rFonts w:ascii="Courier New" w:hAnsi="Courier New" w:cs="Courier New" w:hint="default"/>
      </w:rPr>
    </w:lvl>
    <w:lvl w:ilvl="5" w:tplc="AE58FA02" w:tentative="1">
      <w:start w:val="1"/>
      <w:numFmt w:val="bullet"/>
      <w:lvlText w:val=""/>
      <w:lvlJc w:val="left"/>
      <w:pPr>
        <w:ind w:left="4320" w:hanging="360"/>
      </w:pPr>
      <w:rPr>
        <w:rFonts w:ascii="Wingdings" w:hAnsi="Wingdings" w:hint="default"/>
      </w:rPr>
    </w:lvl>
    <w:lvl w:ilvl="6" w:tplc="E0360C70" w:tentative="1">
      <w:start w:val="1"/>
      <w:numFmt w:val="bullet"/>
      <w:lvlText w:val=""/>
      <w:lvlJc w:val="left"/>
      <w:pPr>
        <w:ind w:left="5040" w:hanging="360"/>
      </w:pPr>
      <w:rPr>
        <w:rFonts w:ascii="Symbol" w:hAnsi="Symbol" w:hint="default"/>
      </w:rPr>
    </w:lvl>
    <w:lvl w:ilvl="7" w:tplc="6DF6F676" w:tentative="1">
      <w:start w:val="1"/>
      <w:numFmt w:val="bullet"/>
      <w:lvlText w:val="o"/>
      <w:lvlJc w:val="left"/>
      <w:pPr>
        <w:ind w:left="5760" w:hanging="360"/>
      </w:pPr>
      <w:rPr>
        <w:rFonts w:ascii="Courier New" w:hAnsi="Courier New" w:cs="Courier New" w:hint="default"/>
      </w:rPr>
    </w:lvl>
    <w:lvl w:ilvl="8" w:tplc="BE287928" w:tentative="1">
      <w:start w:val="1"/>
      <w:numFmt w:val="bullet"/>
      <w:lvlText w:val=""/>
      <w:lvlJc w:val="left"/>
      <w:pPr>
        <w:ind w:left="6480" w:hanging="360"/>
      </w:pPr>
      <w:rPr>
        <w:rFonts w:ascii="Wingdings" w:hAnsi="Wingdings" w:hint="default"/>
      </w:rPr>
    </w:lvl>
  </w:abstractNum>
  <w:abstractNum w:abstractNumId="8"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1565A85"/>
    <w:multiLevelType w:val="hybridMultilevel"/>
    <w:tmpl w:val="F148004A"/>
    <w:lvl w:ilvl="0" w:tplc="EAC4EAB2">
      <w:start w:val="1"/>
      <w:numFmt w:val="bullet"/>
      <w:lvlText w:val=""/>
      <w:lvlJc w:val="left"/>
      <w:pPr>
        <w:ind w:left="720" w:hanging="360"/>
      </w:pPr>
      <w:rPr>
        <w:rFonts w:ascii="Symbol" w:hAnsi="Symbol" w:hint="default"/>
      </w:rPr>
    </w:lvl>
    <w:lvl w:ilvl="1" w:tplc="5798DBEC" w:tentative="1">
      <w:start w:val="1"/>
      <w:numFmt w:val="bullet"/>
      <w:lvlText w:val="o"/>
      <w:lvlJc w:val="left"/>
      <w:pPr>
        <w:ind w:left="1440" w:hanging="360"/>
      </w:pPr>
      <w:rPr>
        <w:rFonts w:ascii="Courier New" w:hAnsi="Courier New" w:cs="Courier New" w:hint="default"/>
      </w:rPr>
    </w:lvl>
    <w:lvl w:ilvl="2" w:tplc="8F40F12E" w:tentative="1">
      <w:start w:val="1"/>
      <w:numFmt w:val="bullet"/>
      <w:lvlText w:val=""/>
      <w:lvlJc w:val="left"/>
      <w:pPr>
        <w:ind w:left="2160" w:hanging="360"/>
      </w:pPr>
      <w:rPr>
        <w:rFonts w:ascii="Wingdings" w:hAnsi="Wingdings" w:hint="default"/>
      </w:rPr>
    </w:lvl>
    <w:lvl w:ilvl="3" w:tplc="F4C00C20" w:tentative="1">
      <w:start w:val="1"/>
      <w:numFmt w:val="bullet"/>
      <w:lvlText w:val=""/>
      <w:lvlJc w:val="left"/>
      <w:pPr>
        <w:ind w:left="2880" w:hanging="360"/>
      </w:pPr>
      <w:rPr>
        <w:rFonts w:ascii="Symbol" w:hAnsi="Symbol" w:hint="default"/>
      </w:rPr>
    </w:lvl>
    <w:lvl w:ilvl="4" w:tplc="6D224350" w:tentative="1">
      <w:start w:val="1"/>
      <w:numFmt w:val="bullet"/>
      <w:lvlText w:val="o"/>
      <w:lvlJc w:val="left"/>
      <w:pPr>
        <w:ind w:left="3600" w:hanging="360"/>
      </w:pPr>
      <w:rPr>
        <w:rFonts w:ascii="Courier New" w:hAnsi="Courier New" w:cs="Courier New" w:hint="default"/>
      </w:rPr>
    </w:lvl>
    <w:lvl w:ilvl="5" w:tplc="CDF26306" w:tentative="1">
      <w:start w:val="1"/>
      <w:numFmt w:val="bullet"/>
      <w:lvlText w:val=""/>
      <w:lvlJc w:val="left"/>
      <w:pPr>
        <w:ind w:left="4320" w:hanging="360"/>
      </w:pPr>
      <w:rPr>
        <w:rFonts w:ascii="Wingdings" w:hAnsi="Wingdings" w:hint="default"/>
      </w:rPr>
    </w:lvl>
    <w:lvl w:ilvl="6" w:tplc="684453B8" w:tentative="1">
      <w:start w:val="1"/>
      <w:numFmt w:val="bullet"/>
      <w:lvlText w:val=""/>
      <w:lvlJc w:val="left"/>
      <w:pPr>
        <w:ind w:left="5040" w:hanging="360"/>
      </w:pPr>
      <w:rPr>
        <w:rFonts w:ascii="Symbol" w:hAnsi="Symbol" w:hint="default"/>
      </w:rPr>
    </w:lvl>
    <w:lvl w:ilvl="7" w:tplc="3566012E" w:tentative="1">
      <w:start w:val="1"/>
      <w:numFmt w:val="bullet"/>
      <w:lvlText w:val="o"/>
      <w:lvlJc w:val="left"/>
      <w:pPr>
        <w:ind w:left="5760" w:hanging="360"/>
      </w:pPr>
      <w:rPr>
        <w:rFonts w:ascii="Courier New" w:hAnsi="Courier New" w:cs="Courier New" w:hint="default"/>
      </w:rPr>
    </w:lvl>
    <w:lvl w:ilvl="8" w:tplc="8EF4D070" w:tentative="1">
      <w:start w:val="1"/>
      <w:numFmt w:val="bullet"/>
      <w:lvlText w:val=""/>
      <w:lvlJc w:val="left"/>
      <w:pPr>
        <w:ind w:left="6480" w:hanging="360"/>
      </w:pPr>
      <w:rPr>
        <w:rFonts w:ascii="Wingdings" w:hAnsi="Wingdings" w:hint="default"/>
      </w:rPr>
    </w:lvl>
  </w:abstractNum>
  <w:abstractNum w:abstractNumId="11"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109546917">
    <w:abstractNumId w:val="11"/>
  </w:num>
  <w:num w:numId="2" w16cid:durableId="1690830907">
    <w:abstractNumId w:val="8"/>
  </w:num>
  <w:num w:numId="3" w16cid:durableId="350879819">
    <w:abstractNumId w:val="5"/>
  </w:num>
  <w:num w:numId="4" w16cid:durableId="1446460854">
    <w:abstractNumId w:val="9"/>
  </w:num>
  <w:num w:numId="5" w16cid:durableId="808672777">
    <w:abstractNumId w:val="1"/>
  </w:num>
  <w:num w:numId="6" w16cid:durableId="662860545">
    <w:abstractNumId w:val="6"/>
  </w:num>
  <w:num w:numId="7" w16cid:durableId="816609223">
    <w:abstractNumId w:val="0"/>
  </w:num>
  <w:num w:numId="8" w16cid:durableId="1269896503">
    <w:abstractNumId w:val="3"/>
  </w:num>
  <w:num w:numId="9" w16cid:durableId="1086611122">
    <w:abstractNumId w:val="7"/>
  </w:num>
  <w:num w:numId="10" w16cid:durableId="507672847">
    <w:abstractNumId w:val="2"/>
  </w:num>
  <w:num w:numId="11" w16cid:durableId="1250777379">
    <w:abstractNumId w:val="10"/>
  </w:num>
  <w:num w:numId="12" w16cid:durableId="1226141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911D1"/>
    <w:rsid w:val="000B54DB"/>
    <w:rsid w:val="00124F48"/>
    <w:rsid w:val="00132CB6"/>
    <w:rsid w:val="001D731D"/>
    <w:rsid w:val="00226E2D"/>
    <w:rsid w:val="002527A9"/>
    <w:rsid w:val="00253567"/>
    <w:rsid w:val="002A2FCB"/>
    <w:rsid w:val="00353A22"/>
    <w:rsid w:val="003A1F48"/>
    <w:rsid w:val="003F6BA8"/>
    <w:rsid w:val="004F71A7"/>
    <w:rsid w:val="005F2549"/>
    <w:rsid w:val="005F399D"/>
    <w:rsid w:val="00612477"/>
    <w:rsid w:val="006E3792"/>
    <w:rsid w:val="007119D1"/>
    <w:rsid w:val="0076733E"/>
    <w:rsid w:val="007B0CF9"/>
    <w:rsid w:val="007E324A"/>
    <w:rsid w:val="00936ECC"/>
    <w:rsid w:val="009A53D9"/>
    <w:rsid w:val="00A025D2"/>
    <w:rsid w:val="00A72AC0"/>
    <w:rsid w:val="00A977A9"/>
    <w:rsid w:val="00BF28BE"/>
    <w:rsid w:val="00BF6766"/>
    <w:rsid w:val="00C22548"/>
    <w:rsid w:val="00C2486E"/>
    <w:rsid w:val="00CB5DA3"/>
    <w:rsid w:val="00CC15CB"/>
    <w:rsid w:val="00DE6EAC"/>
    <w:rsid w:val="00E32305"/>
    <w:rsid w:val="00E63875"/>
    <w:rsid w:val="00ED6A3D"/>
    <w:rsid w:val="00EE1EC2"/>
    <w:rsid w:val="00F12CBA"/>
    <w:rsid w:val="00F1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C486"/>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4F71A7"/>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0">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Paragrafoelenco">
    <w:name w:val="List Paragraph"/>
    <w:basedOn w:val="Normale"/>
    <w:uiPriority w:val="34"/>
    <w:qFormat/>
    <w:rsid w:val="003A1F48"/>
    <w:pPr>
      <w:ind w:left="720"/>
      <w:contextualSpacing/>
    </w:pPr>
    <w:rPr>
      <w:rFonts w:cs="Mangal"/>
      <w:szCs w:val="21"/>
    </w:rPr>
  </w:style>
  <w:style w:type="character" w:customStyle="1" w:styleId="Titolo2Carattere">
    <w:name w:val="Titolo 2 Carattere"/>
    <w:basedOn w:val="Carpredefinitoparagrafo"/>
    <w:link w:val="Titolo2"/>
    <w:uiPriority w:val="9"/>
    <w:rsid w:val="004F71A7"/>
    <w:rPr>
      <w:rFonts w:asciiTheme="majorHAnsi" w:eastAsiaTheme="majorEastAsia" w:hAnsiTheme="majorHAnsi" w:cstheme="majorBidi"/>
      <w:b/>
      <w:bCs/>
      <w:color w:val="4472C4" w:themeColor="accent1"/>
      <w:sz w:val="26"/>
      <w:szCs w:val="26"/>
      <w:lang w:val="en-US" w:eastAsia="en-US" w:bidi="ar-SA"/>
    </w:rPr>
  </w:style>
  <w:style w:type="paragraph" w:styleId="Puntoelenco">
    <w:name w:val="List Bullet"/>
    <w:basedOn w:val="Normale"/>
    <w:uiPriority w:val="99"/>
    <w:unhideWhenUsed/>
    <w:rsid w:val="004F71A7"/>
    <w:pPr>
      <w:numPr>
        <w:numId w:val="7"/>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717</Words>
  <Characters>4091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7</cp:revision>
  <dcterms:created xsi:type="dcterms:W3CDTF">2020-07-06T16:01:00Z</dcterms:created>
  <dcterms:modified xsi:type="dcterms:W3CDTF">2025-09-16T14:12:00Z</dcterms:modified>
  <dc:language>it-IT</dc:language>
</cp:coreProperties>
</file>