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D954" w14:textId="77777777" w:rsidR="007B0CF9" w:rsidRDefault="007B0CF9">
      <w:pPr>
        <w:jc w:val="center"/>
      </w:pPr>
    </w:p>
    <w:p w14:paraId="19AF29C9" w14:textId="77777777" w:rsidR="007B0CF9" w:rsidRPr="006F7220" w:rsidRDefault="00000000">
      <w:pPr>
        <w:jc w:val="center"/>
        <w:rPr>
          <w:b/>
          <w:bCs/>
          <w:lang w:val="es-ES"/>
        </w:rPr>
      </w:pPr>
      <w:r>
        <w:rPr>
          <w:rFonts w:eastAsia="Liberation Serif"/>
          <w:b/>
          <w:bCs/>
          <w:lang w:val="es-ES"/>
        </w:rPr>
        <w:t>POLÍTICA PARA COMPRAS SOSTENIBLES</w:t>
      </w:r>
    </w:p>
    <w:p w14:paraId="6FE2B552" w14:textId="77777777" w:rsidR="007B0CF9" w:rsidRPr="006F7220" w:rsidRDefault="007B0CF9">
      <w:pPr>
        <w:jc w:val="center"/>
        <w:rPr>
          <w:lang w:val="es-ES"/>
        </w:rPr>
      </w:pPr>
    </w:p>
    <w:p w14:paraId="6752F88F" w14:textId="77777777" w:rsidR="004F71A7" w:rsidRPr="006F7220" w:rsidRDefault="00000000" w:rsidP="004F71A7">
      <w:pPr>
        <w:jc w:val="both"/>
        <w:rPr>
          <w:lang w:val="es-ES"/>
        </w:rPr>
      </w:pP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reconoce que sus decisiones de compra tienen un impacto directo e indirecto en el medio ambiente, la sociedad y la economía. Esta Política de Compras Sostenibles está redactada de acuerdo con la norma UNI ISO 20400 y tiene en cuenta las mejores prácticas de la industria, los Objetivos de Desarrollo Sostenible (ODS), la Directiva Europea CSRD/ESRS y los principios del Pacto Mundial.</w:t>
      </w:r>
    </w:p>
    <w:p w14:paraId="751663D5" w14:textId="77777777" w:rsidR="004F71A7" w:rsidRPr="006F7220" w:rsidRDefault="00000000" w:rsidP="004F71A7">
      <w:pPr>
        <w:pStyle w:val="Titolo2"/>
        <w:jc w:val="both"/>
        <w:rPr>
          <w:rFonts w:ascii="Liberation Serif" w:eastAsia="Noto Sans CJK SC Regular" w:hAnsi="Liberation Serif" w:cs="FreeSans"/>
          <w:color w:val="auto"/>
          <w:sz w:val="24"/>
          <w:szCs w:val="24"/>
          <w:lang w:val="es-ES" w:eastAsia="zh-CN" w:bidi="hi-IN"/>
        </w:rPr>
      </w:pPr>
      <w:r>
        <w:rPr>
          <w:rFonts w:ascii="Liberation Serif" w:eastAsia="Liberation Serif" w:hAnsi="Liberation Serif" w:cs="FreeSans"/>
          <w:color w:val="auto"/>
          <w:sz w:val="24"/>
          <w:szCs w:val="24"/>
          <w:lang w:val="es-ES" w:eastAsia="zh-CN" w:bidi="hi-IN"/>
        </w:rPr>
        <w:t>Principios generales</w:t>
      </w:r>
    </w:p>
    <w:p w14:paraId="7700D311" w14:textId="77777777" w:rsidR="004F71A7" w:rsidRPr="006F7220" w:rsidRDefault="00000000" w:rsidP="004F71A7">
      <w:pPr>
        <w:jc w:val="both"/>
        <w:rPr>
          <w:lang w:val="es-ES"/>
        </w:rPr>
      </w:pPr>
      <w:r>
        <w:rPr>
          <w:rFonts w:eastAsia="Liberation Serif"/>
          <w:lang w:val="es-ES"/>
        </w:rPr>
        <w:t xml:space="preserve">Los principios generales que guían la gestión de las compras sostenibles en </w:t>
      </w: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son los siguientes:</w:t>
      </w:r>
    </w:p>
    <w:p w14:paraId="75AE3A91" w14:textId="77777777" w:rsidR="004F71A7" w:rsidRPr="006F7220" w:rsidRDefault="004F71A7" w:rsidP="004F71A7">
      <w:pPr>
        <w:jc w:val="both"/>
        <w:rPr>
          <w:lang w:val="es-ES"/>
        </w:rPr>
      </w:pPr>
    </w:p>
    <w:p w14:paraId="3809D592" w14:textId="77777777" w:rsidR="004F71A7" w:rsidRPr="006F7220" w:rsidRDefault="00000000" w:rsidP="004F71A7">
      <w:pPr>
        <w:pStyle w:val="Paragrafoelenco"/>
        <w:numPr>
          <w:ilvl w:val="0"/>
          <w:numId w:val="8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Respetar los derechos humanos, la dignidad del trabajo y la normativa nacional e internacional vigente;</w:t>
      </w:r>
    </w:p>
    <w:p w14:paraId="6C53167B" w14:textId="77777777" w:rsidR="004F71A7" w:rsidRPr="006F7220" w:rsidRDefault="00000000" w:rsidP="004F71A7">
      <w:pPr>
        <w:pStyle w:val="Paragrafoelenco"/>
        <w:numPr>
          <w:ilvl w:val="0"/>
          <w:numId w:val="8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Promover prácticas de compras éticas, transparentes y responsables en toda la cadena de suministro;</w:t>
      </w:r>
    </w:p>
    <w:p w14:paraId="4A9261B9" w14:textId="77777777" w:rsidR="004F71A7" w:rsidRPr="006F7220" w:rsidRDefault="00000000" w:rsidP="004F71A7">
      <w:pPr>
        <w:pStyle w:val="Paragrafoelenco"/>
        <w:numPr>
          <w:ilvl w:val="0"/>
          <w:numId w:val="8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Integrar la igualdad de género, la diversidad y la inclusión (UNI PdR 125, ISO 30415) en las políticas de compras;</w:t>
      </w:r>
    </w:p>
    <w:p w14:paraId="6CBBC58E" w14:textId="77777777" w:rsidR="004F71A7" w:rsidRPr="006F7220" w:rsidRDefault="00000000" w:rsidP="004F71A7">
      <w:pPr>
        <w:pStyle w:val="Paragrafoelenco"/>
        <w:numPr>
          <w:ilvl w:val="0"/>
          <w:numId w:val="8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Promover el equilibrio entre la sostenibilidad ambiental, la responsabilidad social y la eficiencia económica.</w:t>
      </w:r>
    </w:p>
    <w:p w14:paraId="7A96C022" w14:textId="77777777" w:rsidR="004F71A7" w:rsidRPr="006F7220" w:rsidRDefault="00000000" w:rsidP="004F71A7">
      <w:pPr>
        <w:pStyle w:val="Titolo2"/>
        <w:jc w:val="both"/>
        <w:rPr>
          <w:rFonts w:ascii="Liberation Serif" w:eastAsia="Noto Sans CJK SC Regular" w:hAnsi="Liberation Serif" w:cs="FreeSans"/>
          <w:color w:val="auto"/>
          <w:sz w:val="24"/>
          <w:szCs w:val="24"/>
          <w:lang w:val="es-ES" w:eastAsia="zh-CN" w:bidi="hi-IN"/>
        </w:rPr>
      </w:pPr>
      <w:r>
        <w:rPr>
          <w:rFonts w:ascii="Liberation Serif" w:eastAsia="Liberation Serif" w:hAnsi="Liberation Serif" w:cs="FreeSans"/>
          <w:color w:val="auto"/>
          <w:sz w:val="24"/>
          <w:szCs w:val="24"/>
          <w:lang w:val="es-ES" w:eastAsia="zh-CN" w:bidi="hi-IN"/>
        </w:rPr>
        <w:t>Gestión de riesgos y oportunidades climáticas</w:t>
      </w:r>
    </w:p>
    <w:p w14:paraId="0455D9C2" w14:textId="77777777" w:rsidR="004F71A7" w:rsidRPr="006F7220" w:rsidRDefault="00000000" w:rsidP="004F71A7">
      <w:pPr>
        <w:jc w:val="both"/>
        <w:rPr>
          <w:lang w:val="es-ES"/>
        </w:rPr>
      </w:pP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reconoce que el cambio climático puede afectar la continuidad de la cadena de suministro y la disponibilidad de materias primas y servicios. El análisis de riesgos y oportunidades destacó los siguientes riesgos principales a considerar en las estrategias y decisiones de compra:</w:t>
      </w:r>
    </w:p>
    <w:p w14:paraId="6C8F8F43" w14:textId="77777777" w:rsidR="004F71A7" w:rsidRPr="006F7220" w:rsidRDefault="004F71A7" w:rsidP="004F71A7">
      <w:pPr>
        <w:jc w:val="both"/>
        <w:rPr>
          <w:lang w:val="es-ES"/>
        </w:rPr>
      </w:pPr>
    </w:p>
    <w:p w14:paraId="5A77E87C" w14:textId="77777777" w:rsidR="004F71A7" w:rsidRPr="006F7220" w:rsidRDefault="00000000" w:rsidP="004F71A7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Interrupciones del suministro debido a fenómenos meteorológicos extremos (inundaciones, olas de calor, tormentas);</w:t>
      </w:r>
    </w:p>
    <w:p w14:paraId="451ED3A9" w14:textId="77777777" w:rsidR="004F71A7" w:rsidRPr="006F7220" w:rsidRDefault="00000000" w:rsidP="004F71A7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Aumento de los costos y reducción de la disponibilidad de recursos hídricos y energéticos;</w:t>
      </w:r>
    </w:p>
    <w:p w14:paraId="4AAAC27A" w14:textId="77777777" w:rsidR="004F71A7" w:rsidRPr="006F7220" w:rsidRDefault="00000000" w:rsidP="004F71A7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Impacto de la sequía y la reducción del rendimiento agrícola en las materias primas de origen vegetal;</w:t>
      </w:r>
    </w:p>
    <w:p w14:paraId="13F3921F" w14:textId="77777777" w:rsidR="004F71A7" w:rsidRPr="006F7220" w:rsidRDefault="00000000" w:rsidP="004F71A7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Aumento de las emisiones de CO₂ a lo largo de la cadena logística;</w:t>
      </w:r>
    </w:p>
    <w:p w14:paraId="023973E6" w14:textId="77777777" w:rsidR="004F71A7" w:rsidRPr="006F7220" w:rsidRDefault="00000000" w:rsidP="004F71A7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Mayor vulnerabilidad de la cadena de suministro en caso de dependencia de proveedores ubicados en zonas de riesgo climático.</w:t>
      </w:r>
    </w:p>
    <w:p w14:paraId="712000B7" w14:textId="77777777" w:rsidR="004F71A7" w:rsidRPr="006F7220" w:rsidRDefault="004F71A7" w:rsidP="004F71A7">
      <w:pPr>
        <w:jc w:val="both"/>
        <w:rPr>
          <w:lang w:val="es-ES"/>
        </w:rPr>
      </w:pPr>
    </w:p>
    <w:p w14:paraId="73C8553B" w14:textId="77777777" w:rsidR="004F71A7" w:rsidRPr="006F7220" w:rsidRDefault="00000000" w:rsidP="004F71A7">
      <w:pPr>
        <w:jc w:val="both"/>
        <w:rPr>
          <w:lang w:val="es-ES"/>
        </w:rPr>
      </w:pPr>
      <w:r>
        <w:rPr>
          <w:rFonts w:eastAsia="Liberation Serif"/>
          <w:lang w:val="es-ES"/>
        </w:rPr>
        <w:t xml:space="preserve">Además de los riesgos, </w:t>
      </w: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también ha identificado las siguientes oportunidades de sostenibilidad en sus compras:</w:t>
      </w:r>
    </w:p>
    <w:p w14:paraId="677AA6CD" w14:textId="77777777" w:rsidR="004F71A7" w:rsidRPr="006F7220" w:rsidRDefault="004F71A7" w:rsidP="004F71A7">
      <w:pPr>
        <w:jc w:val="both"/>
        <w:rPr>
          <w:lang w:val="es-ES"/>
        </w:rPr>
      </w:pPr>
    </w:p>
    <w:p w14:paraId="675DF5BD" w14:textId="77777777" w:rsidR="004F71A7" w:rsidRPr="006F7220" w:rsidRDefault="00000000" w:rsidP="004F71A7">
      <w:pPr>
        <w:pStyle w:val="Paragrafoelenco"/>
        <w:numPr>
          <w:ilvl w:val="0"/>
          <w:numId w:val="10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Promover proveedores resilientes e innovadores capaces de garantizar la continuidad del negocio;</w:t>
      </w:r>
    </w:p>
    <w:p w14:paraId="1AA949C0" w14:textId="77777777" w:rsidR="004F71A7" w:rsidRPr="006F7220" w:rsidRDefault="00000000" w:rsidP="004F71A7">
      <w:pPr>
        <w:pStyle w:val="Paragrafoelenco"/>
        <w:numPr>
          <w:ilvl w:val="0"/>
          <w:numId w:val="10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Promover la adopción de soluciones de bajo impacto ambiental y de reducción de huella de carbono;</w:t>
      </w:r>
    </w:p>
    <w:p w14:paraId="6B7F086A" w14:textId="77777777" w:rsidR="004F71A7" w:rsidRPr="006F7220" w:rsidRDefault="00000000" w:rsidP="004F71A7">
      <w:pPr>
        <w:pStyle w:val="Paragrafoelenco"/>
        <w:numPr>
          <w:ilvl w:val="0"/>
          <w:numId w:val="10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Desarrollar alianzas orientadas a la economía circular y la reutilización de recursos;</w:t>
      </w:r>
    </w:p>
    <w:p w14:paraId="0372B728" w14:textId="77777777" w:rsidR="004F71A7" w:rsidRPr="006F7220" w:rsidRDefault="00000000" w:rsidP="004F71A7">
      <w:pPr>
        <w:pStyle w:val="Paragrafoelenco"/>
        <w:numPr>
          <w:ilvl w:val="0"/>
          <w:numId w:val="10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Crear valor compartido mediante la mejora de la transparencia y la trazabilidad de la cadena de suministro.</w:t>
      </w:r>
    </w:p>
    <w:p w14:paraId="62E93BB1" w14:textId="77777777" w:rsidR="004F71A7" w:rsidRPr="006F7220" w:rsidRDefault="00000000" w:rsidP="004F71A7">
      <w:pPr>
        <w:pStyle w:val="Titolo2"/>
        <w:jc w:val="both"/>
        <w:rPr>
          <w:rFonts w:ascii="Liberation Serif" w:eastAsia="Noto Sans CJK SC Regular" w:hAnsi="Liberation Serif" w:cs="FreeSans"/>
          <w:color w:val="auto"/>
          <w:sz w:val="24"/>
          <w:szCs w:val="24"/>
          <w:lang w:val="es-ES" w:eastAsia="zh-CN" w:bidi="hi-IN"/>
        </w:rPr>
      </w:pPr>
      <w:r>
        <w:rPr>
          <w:rFonts w:ascii="Liberation Serif" w:eastAsia="Liberation Serif" w:hAnsi="Liberation Serif" w:cs="FreeSans"/>
          <w:color w:val="auto"/>
          <w:sz w:val="24"/>
          <w:szCs w:val="24"/>
          <w:lang w:val="es-ES" w:eastAsia="zh-CN" w:bidi="hi-IN"/>
        </w:rPr>
        <w:t>Compromisos operativos</w:t>
      </w:r>
    </w:p>
    <w:p w14:paraId="28A3DE0D" w14:textId="77777777" w:rsidR="004F71A7" w:rsidRPr="006F7220" w:rsidRDefault="00000000" w:rsidP="004F71A7">
      <w:pPr>
        <w:jc w:val="both"/>
        <w:rPr>
          <w:lang w:val="es-ES"/>
        </w:rPr>
      </w:pPr>
      <w:r>
        <w:rPr>
          <w:rFonts w:eastAsia="Liberation Serif"/>
          <w:lang w:val="es-ES"/>
        </w:rPr>
        <w:t xml:space="preserve">Los compromisos operativos que </w:t>
      </w: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asume en materia de compras sostenibles incluyen:</w:t>
      </w:r>
    </w:p>
    <w:p w14:paraId="318A7004" w14:textId="77777777" w:rsidR="004F71A7" w:rsidRPr="006F7220" w:rsidRDefault="004F71A7" w:rsidP="004F71A7">
      <w:pPr>
        <w:jc w:val="both"/>
        <w:rPr>
          <w:lang w:val="es-ES"/>
        </w:rPr>
      </w:pPr>
    </w:p>
    <w:p w14:paraId="26F81462" w14:textId="77777777" w:rsidR="004F71A7" w:rsidRPr="006F7220" w:rsidRDefault="00000000" w:rsidP="004F71A7">
      <w:pPr>
        <w:pStyle w:val="Paragrafoelenco"/>
        <w:numPr>
          <w:ilvl w:val="0"/>
          <w:numId w:val="11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Incluir criterios ESG y de sostenibilidad en la selección y evaluación de proveedores;</w:t>
      </w:r>
    </w:p>
    <w:p w14:paraId="1632BFA8" w14:textId="77777777" w:rsidR="004F71A7" w:rsidRPr="006F7220" w:rsidRDefault="00000000" w:rsidP="004F71A7">
      <w:pPr>
        <w:pStyle w:val="Paragrafoelenco"/>
        <w:numPr>
          <w:ilvl w:val="0"/>
          <w:numId w:val="11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lastRenderedPageBreak/>
        <w:t>Dar prioridad a los proveedores que adopten prácticas éticas, sostenibles y certificadas (Ecovadis, SA8000, ISO 14001, etc.);</w:t>
      </w:r>
    </w:p>
    <w:p w14:paraId="33EF5185" w14:textId="77777777" w:rsidR="004F71A7" w:rsidRPr="006F7220" w:rsidRDefault="00000000" w:rsidP="004F71A7">
      <w:pPr>
        <w:pStyle w:val="Paragrafoelenco"/>
        <w:numPr>
          <w:ilvl w:val="0"/>
          <w:numId w:val="11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Promover las compras en los mercados locales para reducir las emisiones relacionadas con el transporte y apoyar las economías locales;</w:t>
      </w:r>
    </w:p>
    <w:p w14:paraId="7F172BB6" w14:textId="77777777" w:rsidR="004F71A7" w:rsidRPr="006F7220" w:rsidRDefault="00000000" w:rsidP="004F71A7">
      <w:pPr>
        <w:pStyle w:val="Paragrafoelenco"/>
        <w:numPr>
          <w:ilvl w:val="0"/>
          <w:numId w:val="11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Adquirir bienes y servicios que cumplan con los estándares ambientales reconocidos, con especial atención a los materiales reciclados o reciclables;</w:t>
      </w:r>
    </w:p>
    <w:p w14:paraId="36F4E180" w14:textId="77777777" w:rsidR="004F71A7" w:rsidRPr="006F7220" w:rsidRDefault="00000000" w:rsidP="004F71A7">
      <w:pPr>
        <w:pStyle w:val="Paragrafoelenco"/>
        <w:numPr>
          <w:ilvl w:val="0"/>
          <w:numId w:val="11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Evitar productos nocivos para el medio ambiente cuando existan alternativas más sostenibles;</w:t>
      </w:r>
    </w:p>
    <w:p w14:paraId="6B7BB30E" w14:textId="77777777" w:rsidR="004F71A7" w:rsidRPr="006F7220" w:rsidRDefault="00000000" w:rsidP="004F71A7">
      <w:pPr>
        <w:pStyle w:val="Paragrafoelenco"/>
        <w:numPr>
          <w:ilvl w:val="0"/>
          <w:numId w:val="11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Promover la conciencia de la sostenibilidad entre los socios de la cadena de suministro, alentándolos a adoptar prácticas responsables;</w:t>
      </w:r>
    </w:p>
    <w:p w14:paraId="03910BD6" w14:textId="77777777" w:rsidR="004F71A7" w:rsidRPr="006F7220" w:rsidRDefault="00000000" w:rsidP="004F71A7">
      <w:pPr>
        <w:pStyle w:val="Paragrafoelenco"/>
        <w:numPr>
          <w:ilvl w:val="0"/>
          <w:numId w:val="11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Realizar seguimiento periódico a los proveedores con auditorías y verificaciones de cumplimiento de las políticas de la empresa;</w:t>
      </w:r>
    </w:p>
    <w:p w14:paraId="6E7FCC02" w14:textId="77777777" w:rsidR="004F71A7" w:rsidRPr="006F7220" w:rsidRDefault="00000000" w:rsidP="004F71A7">
      <w:pPr>
        <w:pStyle w:val="Paragrafoelenco"/>
        <w:numPr>
          <w:ilvl w:val="0"/>
          <w:numId w:val="11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Reducir gradualmente el impacto de las entregas y optimizar el transporte con un enfoque de carbono neutral.</w:t>
      </w:r>
    </w:p>
    <w:p w14:paraId="37C25C91" w14:textId="77777777" w:rsidR="004F71A7" w:rsidRPr="006F7220" w:rsidRDefault="00000000" w:rsidP="004F71A7">
      <w:pPr>
        <w:pStyle w:val="Titolo2"/>
        <w:jc w:val="both"/>
        <w:rPr>
          <w:rFonts w:ascii="Liberation Serif" w:eastAsia="Noto Sans CJK SC Regular" w:hAnsi="Liberation Serif" w:cs="FreeSans"/>
          <w:color w:val="auto"/>
          <w:sz w:val="24"/>
          <w:szCs w:val="24"/>
          <w:lang w:val="es-ES" w:eastAsia="zh-CN" w:bidi="hi-IN"/>
        </w:rPr>
      </w:pPr>
      <w:r>
        <w:rPr>
          <w:rFonts w:ascii="Liberation Serif" w:eastAsia="Liberation Serif" w:hAnsi="Liberation Serif" w:cs="FreeSans"/>
          <w:color w:val="auto"/>
          <w:sz w:val="24"/>
          <w:szCs w:val="24"/>
          <w:lang w:val="es-ES" w:eastAsia="zh-CN" w:bidi="hi-IN"/>
        </w:rPr>
        <w:t>Monitoreo y transparencia</w:t>
      </w:r>
    </w:p>
    <w:p w14:paraId="3665F99F" w14:textId="77777777" w:rsidR="004F71A7" w:rsidRPr="006F7220" w:rsidRDefault="00000000" w:rsidP="004F71A7">
      <w:pPr>
        <w:jc w:val="both"/>
        <w:rPr>
          <w:lang w:val="es-ES"/>
        </w:rPr>
      </w:pP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garantiza el seguimiento periódico de los compromisos asumidos mediante:</w:t>
      </w:r>
    </w:p>
    <w:p w14:paraId="01262587" w14:textId="77777777" w:rsidR="004F71A7" w:rsidRPr="006F7220" w:rsidRDefault="004F71A7" w:rsidP="004F71A7">
      <w:pPr>
        <w:jc w:val="both"/>
        <w:rPr>
          <w:lang w:val="es-ES"/>
        </w:rPr>
      </w:pPr>
    </w:p>
    <w:p w14:paraId="2F7A5A93" w14:textId="77777777" w:rsidR="004F71A7" w:rsidRPr="006F7220" w:rsidRDefault="00000000" w:rsidP="004F71A7">
      <w:pPr>
        <w:pStyle w:val="Paragrafoelenco"/>
        <w:numPr>
          <w:ilvl w:val="0"/>
          <w:numId w:val="12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Definición de KPI ambientales y sociales para la cadena de suministro;</w:t>
      </w:r>
    </w:p>
    <w:p w14:paraId="03F18B87" w14:textId="77777777" w:rsidR="004F71A7" w:rsidRPr="006F7220" w:rsidRDefault="00000000" w:rsidP="004F71A7">
      <w:pPr>
        <w:pStyle w:val="Paragrafoelenco"/>
        <w:numPr>
          <w:ilvl w:val="0"/>
          <w:numId w:val="12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Auditorías internas y externas para verificar la implementación efectiva de los estándares de compras sostenibles;</w:t>
      </w:r>
    </w:p>
    <w:p w14:paraId="64827C04" w14:textId="77777777" w:rsidR="004F71A7" w:rsidRPr="006F7220" w:rsidRDefault="00000000" w:rsidP="004F71A7">
      <w:pPr>
        <w:pStyle w:val="Paragrafoelenco"/>
        <w:numPr>
          <w:ilvl w:val="0"/>
          <w:numId w:val="12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Comunicación transparente de resultados a los grupos de interés a través de informes ESG e informes de sostenibilidad;</w:t>
      </w:r>
    </w:p>
    <w:p w14:paraId="7CDC8FF6" w14:textId="77777777" w:rsidR="004F71A7" w:rsidRPr="006F7220" w:rsidRDefault="00000000" w:rsidP="004F71A7">
      <w:pPr>
        <w:pStyle w:val="Paragrafoelenco"/>
        <w:numPr>
          <w:ilvl w:val="0"/>
          <w:numId w:val="12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Implicación de la dirección y socios clave en un proceso de mejora continua.</w:t>
      </w:r>
    </w:p>
    <w:p w14:paraId="348BC51B" w14:textId="77777777" w:rsidR="004F71A7" w:rsidRPr="006F7220" w:rsidRDefault="004F71A7" w:rsidP="004F71A7">
      <w:pPr>
        <w:jc w:val="both"/>
        <w:rPr>
          <w:lang w:val="es-ES"/>
        </w:rPr>
      </w:pPr>
    </w:p>
    <w:p w14:paraId="711576A5" w14:textId="77777777" w:rsidR="004F71A7" w:rsidRPr="006F7220" w:rsidRDefault="00000000" w:rsidP="004F71A7">
      <w:pPr>
        <w:jc w:val="both"/>
        <w:rPr>
          <w:lang w:val="es-ES"/>
        </w:rPr>
      </w:pPr>
      <w:r>
        <w:rPr>
          <w:rFonts w:eastAsia="Liberation Serif"/>
          <w:lang w:val="es-ES"/>
        </w:rPr>
        <w:t xml:space="preserve">Esta Política de Compras Sostenibles se integra con todas las demás Políticas y Directrices adoptadas por </w:t>
      </w: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y representa un compromiso concreto para garantizar que los aspectos ambientales, sociales y económicos se consideren siempre en las decisiones de adquisición. La Política se publica en el sitio web de la empresa para garantizar su máxima difusión a todas las partes interesadas y es revisada periódicamente por la Dirección para garantizar su eficacia, adecuación y coherencia.</w:t>
      </w:r>
    </w:p>
    <w:p w14:paraId="5F758FFA" w14:textId="77777777" w:rsidR="00F12CBA" w:rsidRPr="006F7220" w:rsidRDefault="00F12CBA" w:rsidP="00EE1EC2">
      <w:pPr>
        <w:jc w:val="both"/>
        <w:rPr>
          <w:lang w:val="es-ES"/>
        </w:rPr>
      </w:pPr>
    </w:p>
    <w:p w14:paraId="3C21435C" w14:textId="77777777" w:rsidR="007B0CF9" w:rsidRPr="006F7220" w:rsidRDefault="00000000">
      <w:pPr>
        <w:jc w:val="both"/>
        <w:rPr>
          <w:lang w:val="es-ES"/>
        </w:rPr>
      </w:pPr>
      <w:r w:rsidRPr="006F7220">
        <w:rPr>
          <w:lang w:val="es-ES"/>
        </w:rPr>
        <w:t xml:space="preserve"> </w:t>
      </w:r>
    </w:p>
    <w:p w14:paraId="6321FC95" w14:textId="77777777" w:rsidR="007B0CF9" w:rsidRPr="006F7220" w:rsidRDefault="007B0CF9">
      <w:pPr>
        <w:jc w:val="both"/>
        <w:rPr>
          <w:lang w:val="es-ES"/>
        </w:rPr>
      </w:pPr>
    </w:p>
    <w:p w14:paraId="29E3CA01" w14:textId="77777777" w:rsidR="007B0CF9" w:rsidRPr="006F7220" w:rsidRDefault="00000000">
      <w:pPr>
        <w:jc w:val="both"/>
        <w:rPr>
          <w:lang w:val="es-ES"/>
        </w:rPr>
      </w:pPr>
      <w:r>
        <w:rPr>
          <w:rFonts w:eastAsia="Liberation Serif"/>
          <w:lang w:val="es-ES"/>
        </w:rPr>
        <w:tab/>
        <w:t xml:space="preserve">     Fecha</w:t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  <w:t xml:space="preserve"> Dirección </w:t>
      </w:r>
      <w:r>
        <w:rPr>
          <w:rFonts w:eastAsia="Liberation Serif"/>
          <w:b/>
          <w:bCs/>
          <w:lang w:val="es-ES"/>
        </w:rPr>
        <w:t>Brambati SpA</w:t>
      </w:r>
    </w:p>
    <w:p w14:paraId="22C95518" w14:textId="77777777" w:rsidR="007B0CF9" w:rsidRPr="006F7220" w:rsidRDefault="007B0CF9">
      <w:pPr>
        <w:jc w:val="both"/>
        <w:rPr>
          <w:lang w:val="es-ES"/>
        </w:rPr>
      </w:pPr>
    </w:p>
    <w:p w14:paraId="20D22D32" w14:textId="77777777" w:rsidR="007B0CF9" w:rsidRDefault="00000000">
      <w:pPr>
        <w:jc w:val="both"/>
        <w:rPr>
          <w:rFonts w:eastAsia="Liberation Serif"/>
          <w:lang w:val="es-ES"/>
        </w:rPr>
      </w:pPr>
      <w:r>
        <w:rPr>
          <w:rFonts w:eastAsia="Liberation Serif"/>
          <w:lang w:val="es-ES"/>
        </w:rPr>
        <w:t>Codevilla, 01/09/2025</w:t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  <w:t>………………………………….</w:t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</w:p>
    <w:p w14:paraId="727DC737" w14:textId="77777777" w:rsidR="008D62F7" w:rsidRPr="006F7220" w:rsidRDefault="008D62F7">
      <w:pPr>
        <w:jc w:val="both"/>
        <w:rPr>
          <w:lang w:val="es-ES"/>
        </w:rPr>
      </w:pPr>
    </w:p>
    <w:sectPr w:rsidR="008D62F7" w:rsidRPr="006F7220" w:rsidSect="005F2549">
      <w:headerReference w:type="default" r:id="rId7"/>
      <w:footerReference w:type="default" r:id="rId8"/>
      <w:pgSz w:w="11906" w:h="16838"/>
      <w:pgMar w:top="1134" w:right="1134" w:bottom="1134" w:left="1134" w:header="283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C469" w14:textId="77777777" w:rsidR="00EF6712" w:rsidRDefault="00EF6712">
      <w:r>
        <w:separator/>
      </w:r>
    </w:p>
  </w:endnote>
  <w:endnote w:type="continuationSeparator" w:id="0">
    <w:p w14:paraId="71129D52" w14:textId="77777777" w:rsidR="00EF6712" w:rsidRDefault="00EF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default"/>
  </w:font>
  <w:font w:name="Liberation Serif">
    <w:altName w:val="Times New Roman"/>
    <w:charset w:val="01"/>
    <w:family w:val="auto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7015" w14:textId="77777777" w:rsidR="00612477" w:rsidRPr="006F7220" w:rsidRDefault="00000000">
    <w:pPr>
      <w:pStyle w:val="Pidipagina"/>
      <w:rPr>
        <w:sz w:val="16"/>
        <w:szCs w:val="16"/>
        <w:lang w:val="es-ES"/>
      </w:rPr>
    </w:pPr>
    <w:r>
      <w:rPr>
        <w:rFonts w:eastAsia="Liberation Serif"/>
        <w:sz w:val="16"/>
        <w:szCs w:val="16"/>
        <w:lang w:val="es-ES"/>
      </w:rPr>
      <w:t>Política de compras sostenibles - rev. 2</w:t>
    </w:r>
  </w:p>
  <w:p w14:paraId="63CFB084" w14:textId="77777777" w:rsidR="00612477" w:rsidRPr="006F7220" w:rsidRDefault="00612477">
    <w:pPr>
      <w:pStyle w:val="Pidipa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1B67" w14:textId="77777777" w:rsidR="00EF6712" w:rsidRDefault="00EF6712">
      <w:r>
        <w:separator/>
      </w:r>
    </w:p>
  </w:footnote>
  <w:footnote w:type="continuationSeparator" w:id="0">
    <w:p w14:paraId="089AEF43" w14:textId="77777777" w:rsidR="00EF6712" w:rsidRDefault="00EF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7667" w14:textId="7BC16749" w:rsidR="005F2549" w:rsidRDefault="006F7220" w:rsidP="006F7220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7543AC" wp14:editId="6C852954">
          <wp:simplePos x="0" y="0"/>
          <wp:positionH relativeFrom="page">
            <wp:posOffset>6806565</wp:posOffset>
          </wp:positionH>
          <wp:positionV relativeFrom="paragraph">
            <wp:posOffset>27940</wp:posOffset>
          </wp:positionV>
          <wp:extent cx="714375" cy="514461"/>
          <wp:effectExtent l="0" t="0" r="0" b="0"/>
          <wp:wrapNone/>
          <wp:docPr id="721647096" name="Immagine 1" descr="Immagine che contiene logo, Carattere, Elementi grafici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647096" name="Immagine 1" descr="Immagine che contiene logo, Carattere, Elementi grafici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14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3BCC970" wp14:editId="297C7F4E">
          <wp:extent cx="2237740" cy="323215"/>
          <wp:effectExtent l="0" t="0" r="0" b="635"/>
          <wp:docPr id="1685242200" name="Immagine 1" descr="Immagine che contiene testo, ross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242200" name="Immagine 1" descr="Immagine che contiene testo, ross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50564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6342D"/>
    <w:multiLevelType w:val="hybridMultilevel"/>
    <w:tmpl w:val="E65E234A"/>
    <w:lvl w:ilvl="0" w:tplc="5F62C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CB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E4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2A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61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CB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CE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E39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6A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D1544"/>
    <w:multiLevelType w:val="hybridMultilevel"/>
    <w:tmpl w:val="FC60B20C"/>
    <w:lvl w:ilvl="0" w:tplc="2E340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07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B00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6C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AF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ED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62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21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CF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F502E"/>
    <w:multiLevelType w:val="hybridMultilevel"/>
    <w:tmpl w:val="8A4E365C"/>
    <w:lvl w:ilvl="0" w:tplc="F4AE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60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EC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E2A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04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81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CB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0B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02B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685B"/>
    <w:multiLevelType w:val="hybridMultilevel"/>
    <w:tmpl w:val="8F867274"/>
    <w:lvl w:ilvl="0" w:tplc="0486C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62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961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46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2B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A1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03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41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2E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1FD"/>
    <w:multiLevelType w:val="multilevel"/>
    <w:tmpl w:val="83C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DC9629E"/>
    <w:multiLevelType w:val="hybridMultilevel"/>
    <w:tmpl w:val="4998D7D2"/>
    <w:lvl w:ilvl="0" w:tplc="C7DE1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E2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40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41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2E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65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8F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00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67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379E"/>
    <w:multiLevelType w:val="hybridMultilevel"/>
    <w:tmpl w:val="CBAAABFC"/>
    <w:lvl w:ilvl="0" w:tplc="C26AE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C5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64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05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C3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2CB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0D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63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9E0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26EC0"/>
    <w:multiLevelType w:val="multilevel"/>
    <w:tmpl w:val="2F00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4284DF3"/>
    <w:multiLevelType w:val="multilevel"/>
    <w:tmpl w:val="42287D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1565A85"/>
    <w:multiLevelType w:val="hybridMultilevel"/>
    <w:tmpl w:val="F148004A"/>
    <w:lvl w:ilvl="0" w:tplc="5A16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45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E3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E2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8C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447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02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84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00F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60918"/>
    <w:multiLevelType w:val="multilevel"/>
    <w:tmpl w:val="0CE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109546917">
    <w:abstractNumId w:val="11"/>
  </w:num>
  <w:num w:numId="2" w16cid:durableId="1690830907">
    <w:abstractNumId w:val="8"/>
  </w:num>
  <w:num w:numId="3" w16cid:durableId="350879819">
    <w:abstractNumId w:val="5"/>
  </w:num>
  <w:num w:numId="4" w16cid:durableId="1446460854">
    <w:abstractNumId w:val="9"/>
  </w:num>
  <w:num w:numId="5" w16cid:durableId="808672777">
    <w:abstractNumId w:val="1"/>
  </w:num>
  <w:num w:numId="6" w16cid:durableId="662860545">
    <w:abstractNumId w:val="6"/>
  </w:num>
  <w:num w:numId="7" w16cid:durableId="816609223">
    <w:abstractNumId w:val="0"/>
  </w:num>
  <w:num w:numId="8" w16cid:durableId="1269896503">
    <w:abstractNumId w:val="3"/>
  </w:num>
  <w:num w:numId="9" w16cid:durableId="1086611122">
    <w:abstractNumId w:val="7"/>
  </w:num>
  <w:num w:numId="10" w16cid:durableId="507672847">
    <w:abstractNumId w:val="2"/>
  </w:num>
  <w:num w:numId="11" w16cid:durableId="1250777379">
    <w:abstractNumId w:val="10"/>
  </w:num>
  <w:num w:numId="12" w16cid:durableId="1226141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F9"/>
    <w:rsid w:val="000911D1"/>
    <w:rsid w:val="000B54DB"/>
    <w:rsid w:val="00124F48"/>
    <w:rsid w:val="001D731D"/>
    <w:rsid w:val="00226E2D"/>
    <w:rsid w:val="002527A9"/>
    <w:rsid w:val="00253567"/>
    <w:rsid w:val="00353A22"/>
    <w:rsid w:val="003A1F48"/>
    <w:rsid w:val="003F6BA8"/>
    <w:rsid w:val="004F71A7"/>
    <w:rsid w:val="005F2549"/>
    <w:rsid w:val="005F399D"/>
    <w:rsid w:val="00604519"/>
    <w:rsid w:val="00612477"/>
    <w:rsid w:val="00666B66"/>
    <w:rsid w:val="006F7220"/>
    <w:rsid w:val="007119D1"/>
    <w:rsid w:val="0076733E"/>
    <w:rsid w:val="007B0CF9"/>
    <w:rsid w:val="007E324A"/>
    <w:rsid w:val="008D62F7"/>
    <w:rsid w:val="00936ECC"/>
    <w:rsid w:val="009A53D9"/>
    <w:rsid w:val="00A72AC0"/>
    <w:rsid w:val="00A977A9"/>
    <w:rsid w:val="00BF28BE"/>
    <w:rsid w:val="00C22548"/>
    <w:rsid w:val="00C2486E"/>
    <w:rsid w:val="00CB5DA3"/>
    <w:rsid w:val="00DE6EAC"/>
    <w:rsid w:val="00E32305"/>
    <w:rsid w:val="00E63875"/>
    <w:rsid w:val="00ED6A3D"/>
    <w:rsid w:val="00EE1EC2"/>
    <w:rsid w:val="00EF6712"/>
    <w:rsid w:val="00F12CBA"/>
    <w:rsid w:val="00F13FB4"/>
    <w:rsid w:val="00FB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0D13"/>
  <w15:docId w15:val="{13D50A7A-533E-424C-B8EC-DFB32C0D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71A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Predefinito"/>
    <w:qFormat/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Predefinito">
    <w:name w:val="Predefinito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Oggettoconpuntadifreccia">
    <w:name w:val="Oggetto con punta di freccia"/>
    <w:basedOn w:val="Predefinito"/>
    <w:qFormat/>
  </w:style>
  <w:style w:type="paragraph" w:customStyle="1" w:styleId="Oggettoconombra">
    <w:name w:val="Oggetto con ombra"/>
    <w:basedOn w:val="Predefinito"/>
    <w:qFormat/>
  </w:style>
  <w:style w:type="paragraph" w:customStyle="1" w:styleId="Oggettosenzariempimento">
    <w:name w:val="Oggetto senza riempimento"/>
    <w:basedOn w:val="Predefinito"/>
    <w:qFormat/>
  </w:style>
  <w:style w:type="paragraph" w:customStyle="1" w:styleId="Oggettosenzariempimentoelinee">
    <w:name w:val="Oggetto senza riempimento e linee"/>
    <w:basedOn w:val="Predefinito"/>
    <w:qFormat/>
  </w:style>
  <w:style w:type="paragraph" w:customStyle="1" w:styleId="Corpotestogiustificato">
    <w:name w:val="Corpo testo giustificato"/>
    <w:basedOn w:val="Predefinito"/>
    <w:qFormat/>
  </w:style>
  <w:style w:type="paragraph" w:customStyle="1" w:styleId="Titolo1">
    <w:name w:val="Titolo1"/>
    <w:basedOn w:val="Predefinito"/>
    <w:qFormat/>
    <w:pPr>
      <w:jc w:val="center"/>
    </w:pPr>
  </w:style>
  <w:style w:type="paragraph" w:customStyle="1" w:styleId="Titolo20">
    <w:name w:val="Titolo2"/>
    <w:basedOn w:val="Predefinito"/>
    <w:qFormat/>
    <w:pPr>
      <w:spacing w:before="57" w:after="57"/>
      <w:ind w:right="113"/>
      <w:jc w:val="center"/>
    </w:pPr>
  </w:style>
  <w:style w:type="paragraph" w:customStyle="1" w:styleId="Intestazione1">
    <w:name w:val="Intestazione1"/>
    <w:basedOn w:val="Predefinito"/>
    <w:qFormat/>
    <w:pPr>
      <w:spacing w:before="238" w:after="119"/>
    </w:pPr>
  </w:style>
  <w:style w:type="paragraph" w:customStyle="1" w:styleId="Intestazione2">
    <w:name w:val="Intestazione2"/>
    <w:basedOn w:val="Predefinito"/>
    <w:qFormat/>
    <w:pPr>
      <w:spacing w:before="238" w:after="119"/>
    </w:pPr>
  </w:style>
  <w:style w:type="paragraph" w:customStyle="1" w:styleId="Lineadiquotatura">
    <w:name w:val="Linea di quotatura"/>
    <w:basedOn w:val="Predefinito"/>
    <w:qFormat/>
  </w:style>
  <w:style w:type="paragraph" w:customStyle="1" w:styleId="TitleSlideLTGliederung1">
    <w:name w:val="Title Slide~LT~Gliederung 1"/>
    <w:qFormat/>
    <w:pPr>
      <w:spacing w:before="283"/>
    </w:pPr>
    <w:rPr>
      <w:rFonts w:ascii="FreeSans" w:eastAsia="DejaVu Sans" w:hAnsi="FreeSans" w:cs="Liberation Sans"/>
      <w:color w:val="000000"/>
      <w:sz w:val="63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FreeSans" w:eastAsia="DejaVu Sans" w:hAnsi="FreeSans" w:cs="Liberation Sans"/>
      <w:color w:val="000000"/>
      <w:sz w:val="88"/>
    </w:rPr>
  </w:style>
  <w:style w:type="paragraph" w:customStyle="1" w:styleId="TitleSlideLTUntertitel">
    <w:name w:val="Title Slide~LT~Untertitel"/>
    <w:qFormat/>
    <w:pPr>
      <w:jc w:val="center"/>
    </w:pPr>
    <w:rPr>
      <w:rFonts w:ascii="FreeSans" w:eastAsia="DejaVu Sans" w:hAnsi="FreeSans" w:cs="Liberation Sans"/>
      <w:color w:val="000000"/>
      <w:sz w:val="6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TitleSlideLTHintergrundobjekte">
    <w:name w:val="Title Slide~LT~Hintergrundobjekte"/>
    <w:qFormat/>
    <w:rPr>
      <w:rFonts w:eastAsia="DejaVu Sans" w:cs="Liberation Sans"/>
    </w:rPr>
  </w:style>
  <w:style w:type="paragraph" w:customStyle="1" w:styleId="TitleSlideLTHintergrund">
    <w:name w:val="Title Slide~LT~Hintergrund"/>
    <w:qFormat/>
    <w:rPr>
      <w:rFonts w:eastAsia="DejaVu Sans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rPr>
      <w:rFonts w:eastAsia="DejaVu Sans" w:cs="Liberation Sans"/>
    </w:rPr>
  </w:style>
  <w:style w:type="paragraph" w:customStyle="1" w:styleId="Sfondo">
    <w:name w:val="Sfondo"/>
    <w:qFormat/>
    <w:rPr>
      <w:rFonts w:eastAsia="DejaVu Sans" w:cs="Liberation Sans"/>
    </w:rPr>
  </w:style>
  <w:style w:type="paragraph" w:customStyle="1" w:styleId="Note">
    <w:name w:val="Note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Struttura1">
    <w:name w:val="Struttura 1"/>
    <w:qFormat/>
    <w:pPr>
      <w:spacing w:before="283"/>
    </w:pPr>
    <w:rPr>
      <w:rFonts w:ascii="FreeSans" w:eastAsia="DejaVu Sans" w:hAnsi="FreeSans" w:cs="Liberation Sans"/>
      <w:color w:val="000000"/>
      <w:sz w:val="63"/>
    </w:rPr>
  </w:style>
  <w:style w:type="paragraph" w:customStyle="1" w:styleId="Struttura2">
    <w:name w:val="Struttura 2"/>
    <w:basedOn w:val="Struttura1"/>
    <w:qFormat/>
    <w:pPr>
      <w:spacing w:before="227"/>
    </w:pPr>
    <w:rPr>
      <w:sz w:val="56"/>
    </w:rPr>
  </w:style>
  <w:style w:type="paragraph" w:customStyle="1" w:styleId="Struttura3">
    <w:name w:val="Struttura 3"/>
    <w:basedOn w:val="Struttura2"/>
    <w:qFormat/>
    <w:pPr>
      <w:spacing w:before="170"/>
    </w:pPr>
    <w:rPr>
      <w:sz w:val="48"/>
    </w:rPr>
  </w:style>
  <w:style w:type="paragraph" w:customStyle="1" w:styleId="Struttura4">
    <w:name w:val="Struttura 4"/>
    <w:basedOn w:val="Struttura3"/>
    <w:qFormat/>
    <w:pPr>
      <w:spacing w:before="113"/>
    </w:pPr>
    <w:rPr>
      <w:sz w:val="40"/>
    </w:rPr>
  </w:style>
  <w:style w:type="paragraph" w:customStyle="1" w:styleId="Struttura5">
    <w:name w:val="Struttura 5"/>
    <w:basedOn w:val="Struttura4"/>
    <w:qFormat/>
    <w:pPr>
      <w:spacing w:before="57"/>
    </w:p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styleId="Intestazione">
    <w:name w:val="header"/>
    <w:basedOn w:val="Normale"/>
    <w:link w:val="IntestazioneCarattere"/>
    <w:uiPriority w:val="99"/>
    <w:unhideWhenUsed/>
    <w:rsid w:val="006124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47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124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477"/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3A1F48"/>
    <w:pPr>
      <w:ind w:left="720"/>
      <w:contextualSpacing/>
    </w:pPr>
    <w:rPr>
      <w:rFonts w:cs="Mangal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71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ar-SA"/>
    </w:rPr>
  </w:style>
  <w:style w:type="paragraph" w:styleId="Puntoelenco">
    <w:name w:val="List Bullet"/>
    <w:basedOn w:val="Normale"/>
    <w:uiPriority w:val="99"/>
    <w:unhideWhenUsed/>
    <w:rsid w:val="004F71A7"/>
    <w:pPr>
      <w:numPr>
        <w:numId w:val="7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A</dc:creator>
  <cp:lastModifiedBy>Export Commerciale - Brambati Spa</cp:lastModifiedBy>
  <cp:revision>7</cp:revision>
  <dcterms:created xsi:type="dcterms:W3CDTF">2020-07-06T16:01:00Z</dcterms:created>
  <dcterms:modified xsi:type="dcterms:W3CDTF">2025-09-16T14:08:00Z</dcterms:modified>
  <dc:language>it-IT</dc:language>
</cp:coreProperties>
</file>