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8B40" w14:textId="77777777" w:rsidR="007B0CF9" w:rsidRDefault="007B0CF9">
      <w:pPr>
        <w:jc w:val="center"/>
      </w:pPr>
    </w:p>
    <w:p w14:paraId="60941673" w14:textId="77777777" w:rsidR="007B0CF9" w:rsidRPr="00253567" w:rsidRDefault="00C2486E">
      <w:pPr>
        <w:jc w:val="center"/>
        <w:rPr>
          <w:b/>
          <w:bCs/>
        </w:rPr>
      </w:pPr>
      <w:r w:rsidRPr="00253567">
        <w:rPr>
          <w:b/>
          <w:bCs/>
        </w:rPr>
        <w:t xml:space="preserve">POLITICA PER </w:t>
      </w:r>
      <w:r w:rsidR="003A1F48">
        <w:rPr>
          <w:b/>
          <w:bCs/>
        </w:rPr>
        <w:t>GLI ACQUISTI SOSTENIBILI</w:t>
      </w:r>
      <w:r w:rsidRPr="00253567">
        <w:rPr>
          <w:b/>
          <w:bCs/>
        </w:rPr>
        <w:t xml:space="preserve"> </w:t>
      </w:r>
    </w:p>
    <w:p w14:paraId="2C2E31E4" w14:textId="77777777" w:rsidR="007B0CF9" w:rsidRDefault="007B0CF9">
      <w:pPr>
        <w:jc w:val="center"/>
      </w:pPr>
    </w:p>
    <w:p w14:paraId="3739C52B" w14:textId="089F9515" w:rsidR="004F71A7" w:rsidRDefault="004F71A7" w:rsidP="004F71A7">
      <w:pPr>
        <w:jc w:val="both"/>
      </w:pPr>
      <w:r w:rsidRPr="004F71A7">
        <w:rPr>
          <w:b/>
          <w:bCs/>
        </w:rPr>
        <w:t>Brambati SpA</w:t>
      </w:r>
      <w:r>
        <w:t xml:space="preserve"> riconosce che le proprie decisioni di acquisto hanno un impatto diretto e indiretto sull’ambiente, sulla società e sull’economia. La presente Politica per gli Acquisti Sostenibili è redatta in coerenza con la norma UNI ISO 20400 e tiene conto delle migliori pratiche di settore, degli Obiettivi di Sviluppo Sostenibile (</w:t>
      </w:r>
      <w:proofErr w:type="spellStart"/>
      <w:r>
        <w:t>SDGs</w:t>
      </w:r>
      <w:proofErr w:type="spellEnd"/>
      <w:r>
        <w:t>), della Direttiva Europea CSRD/ESRS e dei principi del Global Compact.</w:t>
      </w:r>
    </w:p>
    <w:p w14:paraId="3E4DD75E" w14:textId="77777777" w:rsidR="004F71A7" w:rsidRPr="004F71A7" w:rsidRDefault="004F71A7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</w:pPr>
      <w:r w:rsidRPr="004F71A7"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  <w:t>Principi generali</w:t>
      </w:r>
    </w:p>
    <w:p w14:paraId="3701B6AA" w14:textId="77777777" w:rsidR="004F71A7" w:rsidRDefault="004F71A7" w:rsidP="004F71A7">
      <w:pPr>
        <w:jc w:val="both"/>
      </w:pPr>
      <w:r>
        <w:t xml:space="preserve">I principi generali che guidano la gestione degli acquisti sostenibili in </w:t>
      </w:r>
      <w:r w:rsidRPr="004F71A7">
        <w:rPr>
          <w:b/>
          <w:bCs/>
        </w:rPr>
        <w:t>Brambati SpA</w:t>
      </w:r>
      <w:r>
        <w:t xml:space="preserve"> sono i seguenti:</w:t>
      </w:r>
    </w:p>
    <w:p w14:paraId="460029B7" w14:textId="77777777" w:rsidR="004F71A7" w:rsidRDefault="004F71A7" w:rsidP="004F71A7">
      <w:pPr>
        <w:jc w:val="both"/>
      </w:pPr>
    </w:p>
    <w:p w14:paraId="733C77AB" w14:textId="77777777" w:rsidR="004F71A7" w:rsidRDefault="004F71A7" w:rsidP="004F71A7">
      <w:pPr>
        <w:pStyle w:val="Paragrafoelenco"/>
        <w:numPr>
          <w:ilvl w:val="0"/>
          <w:numId w:val="8"/>
        </w:numPr>
        <w:jc w:val="both"/>
      </w:pPr>
      <w:r w:rsidRPr="004F71A7">
        <w:t>Rispettare i diritti umani, la dignità del lavoro e le normative vigenti a livello nazionale e internazionale;</w:t>
      </w:r>
    </w:p>
    <w:p w14:paraId="60E96A4D" w14:textId="77777777" w:rsidR="004F71A7" w:rsidRDefault="004F71A7" w:rsidP="004F71A7">
      <w:pPr>
        <w:pStyle w:val="Paragrafoelenco"/>
        <w:numPr>
          <w:ilvl w:val="0"/>
          <w:numId w:val="8"/>
        </w:numPr>
        <w:jc w:val="both"/>
      </w:pPr>
      <w:r w:rsidRPr="004F71A7">
        <w:t>Promuovere pratiche di approvvigionamento etiche, trasparenti e responsabili lungo tutta la catena di fornitura;</w:t>
      </w:r>
    </w:p>
    <w:p w14:paraId="5C8FB3A0" w14:textId="31A51E73" w:rsidR="004F71A7" w:rsidRDefault="004F71A7" w:rsidP="004F71A7">
      <w:pPr>
        <w:pStyle w:val="Paragrafoelenco"/>
        <w:numPr>
          <w:ilvl w:val="0"/>
          <w:numId w:val="8"/>
        </w:numPr>
        <w:jc w:val="both"/>
      </w:pPr>
      <w:r w:rsidRPr="004F71A7">
        <w:t xml:space="preserve">Integrare la parità di genere, la diversità e l’inclusione (UNI </w:t>
      </w:r>
      <w:proofErr w:type="spellStart"/>
      <w:r w:rsidRPr="004F71A7">
        <w:t>PdR</w:t>
      </w:r>
      <w:proofErr w:type="spellEnd"/>
      <w:r w:rsidRPr="004F71A7">
        <w:t xml:space="preserve"> 125, ISO 30415) nelle politiche di acquisto;</w:t>
      </w:r>
    </w:p>
    <w:p w14:paraId="4C61F09C" w14:textId="13DB3BBE" w:rsidR="004F71A7" w:rsidRPr="004F71A7" w:rsidRDefault="004F71A7" w:rsidP="004F71A7">
      <w:pPr>
        <w:pStyle w:val="Paragrafoelenco"/>
        <w:numPr>
          <w:ilvl w:val="0"/>
          <w:numId w:val="8"/>
        </w:numPr>
        <w:jc w:val="both"/>
      </w:pPr>
      <w:r w:rsidRPr="004F71A7">
        <w:t>Favorire un equilibrio tra sostenibilità ambientale, responsabilità sociale ed efficienza economica.</w:t>
      </w:r>
    </w:p>
    <w:p w14:paraId="64586544" w14:textId="77777777" w:rsidR="004F71A7" w:rsidRPr="004F71A7" w:rsidRDefault="004F71A7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</w:pPr>
      <w:r w:rsidRPr="004F71A7"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  <w:t>Gestione dei rischi e opportunità climatiche</w:t>
      </w:r>
    </w:p>
    <w:p w14:paraId="32C0CA38" w14:textId="451E5BE6" w:rsidR="004F71A7" w:rsidRDefault="004F71A7" w:rsidP="004F71A7">
      <w:pPr>
        <w:jc w:val="both"/>
      </w:pPr>
      <w:r w:rsidRPr="004F71A7">
        <w:rPr>
          <w:b/>
          <w:bCs/>
        </w:rPr>
        <w:t>Brambati SpA</w:t>
      </w:r>
      <w:r>
        <w:t xml:space="preserve"> riconosce che i cambiamenti climatici possono incidere sulla continuità della supply chain e sulla disponibilità di materie prime e servizi. L’Analisi dei Rischi e delle Opportunità ha evidenziato i seguenti principali rischi da considerare nelle strategie e decisioni di acquisto:</w:t>
      </w:r>
    </w:p>
    <w:p w14:paraId="6A44ECC4" w14:textId="77777777" w:rsidR="004F71A7" w:rsidRDefault="004F71A7" w:rsidP="004F71A7">
      <w:pPr>
        <w:jc w:val="both"/>
      </w:pPr>
    </w:p>
    <w:p w14:paraId="5212C030" w14:textId="77777777" w:rsidR="004F71A7" w:rsidRDefault="004F71A7" w:rsidP="004F71A7">
      <w:pPr>
        <w:pStyle w:val="Paragrafoelenco"/>
        <w:numPr>
          <w:ilvl w:val="0"/>
          <w:numId w:val="9"/>
        </w:numPr>
        <w:jc w:val="both"/>
      </w:pPr>
      <w:r w:rsidRPr="004F71A7">
        <w:t>Interruzioni della fornitura dovute a eventi meteorologici estremi (alluvioni, ondate di calore, tempeste);</w:t>
      </w:r>
    </w:p>
    <w:p w14:paraId="342276AF" w14:textId="77777777" w:rsidR="004F71A7" w:rsidRDefault="004F71A7" w:rsidP="004F71A7">
      <w:pPr>
        <w:pStyle w:val="Paragrafoelenco"/>
        <w:numPr>
          <w:ilvl w:val="0"/>
          <w:numId w:val="9"/>
        </w:numPr>
        <w:jc w:val="both"/>
      </w:pPr>
      <w:r w:rsidRPr="004F71A7">
        <w:t>Aumento dei costi e riduzione della disponibilità di risorse idriche ed energetiche;</w:t>
      </w:r>
    </w:p>
    <w:p w14:paraId="3E2107BE" w14:textId="77777777" w:rsidR="004F71A7" w:rsidRDefault="004F71A7" w:rsidP="004F71A7">
      <w:pPr>
        <w:pStyle w:val="Paragrafoelenco"/>
        <w:numPr>
          <w:ilvl w:val="0"/>
          <w:numId w:val="9"/>
        </w:numPr>
        <w:jc w:val="both"/>
      </w:pPr>
      <w:r w:rsidRPr="004F71A7">
        <w:t>Impatto della siccità e della ridotta resa agricola sulle materie prime di origine vegetale;</w:t>
      </w:r>
    </w:p>
    <w:p w14:paraId="040A4080" w14:textId="77777777" w:rsidR="004F71A7" w:rsidRDefault="004F71A7" w:rsidP="004F71A7">
      <w:pPr>
        <w:pStyle w:val="Paragrafoelenco"/>
        <w:numPr>
          <w:ilvl w:val="0"/>
          <w:numId w:val="9"/>
        </w:numPr>
        <w:jc w:val="both"/>
      </w:pPr>
      <w:r w:rsidRPr="004F71A7">
        <w:t>Incremento delle emissioni di CO₂ lungo la catena logistica;</w:t>
      </w:r>
    </w:p>
    <w:p w14:paraId="6162543A" w14:textId="39D0383D" w:rsidR="004F71A7" w:rsidRDefault="004F71A7" w:rsidP="004F71A7">
      <w:pPr>
        <w:pStyle w:val="Paragrafoelenco"/>
        <w:numPr>
          <w:ilvl w:val="0"/>
          <w:numId w:val="9"/>
        </w:numPr>
        <w:jc w:val="both"/>
      </w:pPr>
      <w:r w:rsidRPr="004F71A7">
        <w:t>Maggiore vulnerabilità della filiera in caso di dipendenza da fornitori localizzati in aree climaticamente a rischio.</w:t>
      </w:r>
    </w:p>
    <w:p w14:paraId="2C7F5C41" w14:textId="77777777" w:rsidR="004F71A7" w:rsidRPr="004F71A7" w:rsidRDefault="004F71A7" w:rsidP="004F71A7">
      <w:pPr>
        <w:jc w:val="both"/>
      </w:pPr>
    </w:p>
    <w:p w14:paraId="0AE3AEEF" w14:textId="77777777" w:rsidR="004F71A7" w:rsidRDefault="004F71A7" w:rsidP="004F71A7">
      <w:pPr>
        <w:jc w:val="both"/>
      </w:pPr>
      <w:r>
        <w:t xml:space="preserve">Accanto ai rischi, </w:t>
      </w:r>
      <w:r w:rsidRPr="004F71A7">
        <w:rPr>
          <w:b/>
          <w:bCs/>
        </w:rPr>
        <w:t>Brambati SpA</w:t>
      </w:r>
      <w:r>
        <w:t xml:space="preserve"> ha individuato anche le seguenti opportunità di sostenibilità negli acquisti:</w:t>
      </w:r>
    </w:p>
    <w:p w14:paraId="6B40F87C" w14:textId="77777777" w:rsidR="004F71A7" w:rsidRDefault="004F71A7" w:rsidP="004F71A7">
      <w:pPr>
        <w:jc w:val="both"/>
      </w:pPr>
    </w:p>
    <w:p w14:paraId="49284271" w14:textId="77777777" w:rsidR="004F71A7" w:rsidRDefault="004F71A7" w:rsidP="004F71A7">
      <w:pPr>
        <w:pStyle w:val="Paragrafoelenco"/>
        <w:numPr>
          <w:ilvl w:val="0"/>
          <w:numId w:val="10"/>
        </w:numPr>
        <w:jc w:val="both"/>
      </w:pPr>
      <w:r w:rsidRPr="004F71A7">
        <w:t>Promuovere fornitori resilienti e innovativi in grado di garantire continuità operativa;</w:t>
      </w:r>
    </w:p>
    <w:p w14:paraId="4EFAB762" w14:textId="77777777" w:rsidR="004F71A7" w:rsidRDefault="004F71A7" w:rsidP="004F71A7">
      <w:pPr>
        <w:pStyle w:val="Paragrafoelenco"/>
        <w:numPr>
          <w:ilvl w:val="0"/>
          <w:numId w:val="10"/>
        </w:numPr>
        <w:jc w:val="both"/>
      </w:pPr>
      <w:r w:rsidRPr="004F71A7">
        <w:t>Favorire l’adozione di soluzioni a basso impatto ambientale e carbon footprint ridotto;</w:t>
      </w:r>
    </w:p>
    <w:p w14:paraId="2B13010E" w14:textId="77777777" w:rsidR="004F71A7" w:rsidRDefault="004F71A7" w:rsidP="004F71A7">
      <w:pPr>
        <w:pStyle w:val="Paragrafoelenco"/>
        <w:numPr>
          <w:ilvl w:val="0"/>
          <w:numId w:val="10"/>
        </w:numPr>
        <w:jc w:val="both"/>
      </w:pPr>
      <w:r w:rsidRPr="004F71A7">
        <w:t>Sviluppare partnership orientate all’economia circolare e al riuso delle risorse;</w:t>
      </w:r>
    </w:p>
    <w:p w14:paraId="66020526" w14:textId="302F8BCD" w:rsidR="004F71A7" w:rsidRPr="004F71A7" w:rsidRDefault="004F71A7" w:rsidP="004F71A7">
      <w:pPr>
        <w:pStyle w:val="Paragrafoelenco"/>
        <w:numPr>
          <w:ilvl w:val="0"/>
          <w:numId w:val="10"/>
        </w:numPr>
        <w:jc w:val="both"/>
      </w:pPr>
      <w:r w:rsidRPr="004F71A7">
        <w:t>Creare valore condiviso migliorando la trasparenza e la tracciabilità della supply chain.</w:t>
      </w:r>
    </w:p>
    <w:p w14:paraId="768C700C" w14:textId="77777777" w:rsidR="004F71A7" w:rsidRPr="004F71A7" w:rsidRDefault="004F71A7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</w:pPr>
      <w:r w:rsidRPr="004F71A7"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  <w:t>Impegni operativi</w:t>
      </w:r>
    </w:p>
    <w:p w14:paraId="7DF5D1B4" w14:textId="77777777" w:rsidR="004F71A7" w:rsidRDefault="004F71A7" w:rsidP="004F71A7">
      <w:pPr>
        <w:jc w:val="both"/>
      </w:pPr>
      <w:r>
        <w:t xml:space="preserve">Gli impegni operativi che </w:t>
      </w:r>
      <w:r w:rsidRPr="004F71A7">
        <w:rPr>
          <w:b/>
          <w:bCs/>
        </w:rPr>
        <w:t>Brambati SpA</w:t>
      </w:r>
      <w:r>
        <w:t xml:space="preserve"> assume in materia di acquisti sostenibili comprendono:</w:t>
      </w:r>
    </w:p>
    <w:p w14:paraId="29C26A61" w14:textId="77777777" w:rsidR="004F71A7" w:rsidRDefault="004F71A7" w:rsidP="004F71A7">
      <w:pPr>
        <w:jc w:val="both"/>
      </w:pPr>
    </w:p>
    <w:p w14:paraId="1A644323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>Includere criteri ESG e di sostenibilità nella selezione e valutazione dei fornitori;</w:t>
      </w:r>
    </w:p>
    <w:p w14:paraId="48AFD8E9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>Accordare priorità a fornitori che adottano pratiche etiche, sostenibili e certificate (</w:t>
      </w:r>
      <w:proofErr w:type="spellStart"/>
      <w:r w:rsidRPr="004F71A7">
        <w:t>Ecovadis</w:t>
      </w:r>
      <w:proofErr w:type="spellEnd"/>
      <w:r w:rsidRPr="004F71A7">
        <w:t>, SA8000, ISO 14001, ecc.);</w:t>
      </w:r>
    </w:p>
    <w:p w14:paraId="23F6BEFF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>Favorire acquisti da mercati locali per ridurre le emissioni legate ai trasporti e sostenere le economie territoriali;</w:t>
      </w:r>
    </w:p>
    <w:p w14:paraId="27E6BB6F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>Acquistare beni e servizi che rispettano standard ambientali riconosciuti, con particolare attenzione a materiali riciclati o riciclabili;</w:t>
      </w:r>
    </w:p>
    <w:p w14:paraId="7D193FB3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lastRenderedPageBreak/>
        <w:t>Evitare prodotti nocivi per l’ambiente laddove esistano alternative più sostenibili;</w:t>
      </w:r>
    </w:p>
    <w:p w14:paraId="16614351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 xml:space="preserve">Promuovere la consapevolezza sulla sostenibilità tra i partner di filiera, incoraggiandoli </w:t>
      </w:r>
      <w:proofErr w:type="gramStart"/>
      <w:r w:rsidRPr="004F71A7">
        <w:t>ad</w:t>
      </w:r>
      <w:proofErr w:type="gramEnd"/>
      <w:r w:rsidRPr="004F71A7">
        <w:t xml:space="preserve"> adottare pratiche responsabili;</w:t>
      </w:r>
    </w:p>
    <w:p w14:paraId="036DD577" w14:textId="77777777" w:rsid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>Monitorare periodicamente i fornitori con audit e verifiche di conformità alle politiche aziendali;</w:t>
      </w:r>
    </w:p>
    <w:p w14:paraId="2DF0154C" w14:textId="00101121" w:rsidR="004F71A7" w:rsidRPr="004F71A7" w:rsidRDefault="004F71A7" w:rsidP="004F71A7">
      <w:pPr>
        <w:pStyle w:val="Paragrafoelenco"/>
        <w:numPr>
          <w:ilvl w:val="0"/>
          <w:numId w:val="11"/>
        </w:numPr>
        <w:jc w:val="both"/>
      </w:pPr>
      <w:r w:rsidRPr="004F71A7">
        <w:t xml:space="preserve">Ridurre progressivamente l’impatto delle consegne e ottimizzare i trasporti in ottica carbon </w:t>
      </w:r>
      <w:proofErr w:type="spellStart"/>
      <w:r w:rsidRPr="004F71A7">
        <w:t>neutral</w:t>
      </w:r>
      <w:proofErr w:type="spellEnd"/>
      <w:r w:rsidRPr="004F71A7">
        <w:t>.</w:t>
      </w:r>
    </w:p>
    <w:p w14:paraId="6E6DDBE6" w14:textId="77777777" w:rsidR="004F71A7" w:rsidRPr="004F71A7" w:rsidRDefault="004F71A7" w:rsidP="004F71A7">
      <w:pPr>
        <w:pStyle w:val="Titolo2"/>
        <w:jc w:val="both"/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</w:pPr>
      <w:r w:rsidRPr="004F71A7">
        <w:rPr>
          <w:rFonts w:ascii="Liberation Serif" w:eastAsia="Noto Sans CJK SC Regular" w:hAnsi="Liberation Serif" w:cs="FreeSans"/>
          <w:color w:val="auto"/>
          <w:sz w:val="24"/>
          <w:szCs w:val="24"/>
          <w:lang w:val="it-IT" w:eastAsia="zh-CN" w:bidi="hi-IN"/>
        </w:rPr>
        <w:t>Monitoraggio e trasparenza</w:t>
      </w:r>
    </w:p>
    <w:p w14:paraId="5C07B4A7" w14:textId="77777777" w:rsidR="004F71A7" w:rsidRDefault="004F71A7" w:rsidP="004F71A7">
      <w:pPr>
        <w:jc w:val="both"/>
      </w:pPr>
      <w:r w:rsidRPr="004F71A7">
        <w:rPr>
          <w:b/>
          <w:bCs/>
        </w:rPr>
        <w:t>Brambati SpA</w:t>
      </w:r>
      <w:r>
        <w:t xml:space="preserve"> garantisce un monitoraggio regolare degli impegni assunti attraverso:</w:t>
      </w:r>
    </w:p>
    <w:p w14:paraId="7B3C9FB9" w14:textId="77777777" w:rsidR="004F71A7" w:rsidRDefault="004F71A7" w:rsidP="004F71A7">
      <w:pPr>
        <w:jc w:val="both"/>
      </w:pPr>
    </w:p>
    <w:p w14:paraId="085C2F36" w14:textId="77777777" w:rsidR="004F71A7" w:rsidRDefault="004F71A7" w:rsidP="004F71A7">
      <w:pPr>
        <w:pStyle w:val="Paragrafoelenco"/>
        <w:numPr>
          <w:ilvl w:val="0"/>
          <w:numId w:val="12"/>
        </w:numPr>
        <w:jc w:val="both"/>
      </w:pPr>
      <w:r w:rsidRPr="004F71A7">
        <w:t>Definizione di KPI ambientali e sociali per la supply chain;</w:t>
      </w:r>
    </w:p>
    <w:p w14:paraId="2614A802" w14:textId="77777777" w:rsidR="004F71A7" w:rsidRDefault="004F71A7" w:rsidP="004F71A7">
      <w:pPr>
        <w:pStyle w:val="Paragrafoelenco"/>
        <w:numPr>
          <w:ilvl w:val="0"/>
          <w:numId w:val="12"/>
        </w:numPr>
        <w:jc w:val="both"/>
      </w:pPr>
      <w:r w:rsidRPr="004F71A7">
        <w:t>Audit interni ed esterni per verificare l’effettiva implementazione degli standard di acquisto sostenibile;</w:t>
      </w:r>
    </w:p>
    <w:p w14:paraId="49F88811" w14:textId="77777777" w:rsidR="004F71A7" w:rsidRDefault="004F71A7" w:rsidP="004F71A7">
      <w:pPr>
        <w:pStyle w:val="Paragrafoelenco"/>
        <w:numPr>
          <w:ilvl w:val="0"/>
          <w:numId w:val="12"/>
        </w:numPr>
        <w:jc w:val="both"/>
      </w:pPr>
      <w:r w:rsidRPr="004F71A7">
        <w:t>Comunicazione trasparente dei risultati agli stakeholder attraverso report ESG e bilanci di sostenibilità;</w:t>
      </w:r>
    </w:p>
    <w:p w14:paraId="100476A7" w14:textId="5CA89211" w:rsidR="004F71A7" w:rsidRPr="004F71A7" w:rsidRDefault="004F71A7" w:rsidP="004F71A7">
      <w:pPr>
        <w:pStyle w:val="Paragrafoelenco"/>
        <w:numPr>
          <w:ilvl w:val="0"/>
          <w:numId w:val="12"/>
        </w:numPr>
        <w:jc w:val="both"/>
      </w:pPr>
      <w:r w:rsidRPr="004F71A7">
        <w:t>Coinvolgimento della Direzione e dei partner chiave in un processo di miglioramento continuo.</w:t>
      </w:r>
    </w:p>
    <w:p w14:paraId="43960721" w14:textId="77777777" w:rsidR="004F71A7" w:rsidRDefault="004F71A7" w:rsidP="004F71A7">
      <w:pPr>
        <w:jc w:val="both"/>
      </w:pPr>
    </w:p>
    <w:p w14:paraId="1648AC3A" w14:textId="5E88DD13" w:rsidR="004F71A7" w:rsidRDefault="004F71A7" w:rsidP="004F71A7">
      <w:pPr>
        <w:jc w:val="both"/>
      </w:pPr>
      <w:r>
        <w:t xml:space="preserve">La presente Politica per gli Acquisti Sostenibili si integra con tutte le altre Politiche e Linee Guida adottate da </w:t>
      </w:r>
      <w:r w:rsidRPr="004F71A7">
        <w:rPr>
          <w:b/>
          <w:bCs/>
        </w:rPr>
        <w:t>Brambati SpA</w:t>
      </w:r>
      <w:r>
        <w:t xml:space="preserve"> e rappresenta un impegno concreto a garantire che gli aspetti ambientali, sociali ed economici siano sempre considerati nelle decisioni di approvvigionamento. La Politica è pubblicata sul sito web aziendale per garantirne la massima divulgazione a tutti gli stakeholder e viene riesaminata periodicamente dalla Direzione per assicurarne efficacia, adeguatezza e coerenza.</w:t>
      </w:r>
    </w:p>
    <w:p w14:paraId="116A8313" w14:textId="70B051A9" w:rsidR="00F12CBA" w:rsidRPr="003A1F48" w:rsidRDefault="00F12CBA" w:rsidP="00EE1EC2">
      <w:pPr>
        <w:jc w:val="both"/>
      </w:pPr>
    </w:p>
    <w:p w14:paraId="3E3322C7" w14:textId="77777777" w:rsidR="007B0CF9" w:rsidRDefault="00C2486E">
      <w:pPr>
        <w:jc w:val="both"/>
      </w:pPr>
      <w:r>
        <w:t xml:space="preserve"> </w:t>
      </w:r>
    </w:p>
    <w:p w14:paraId="4ACA12F2" w14:textId="77777777" w:rsidR="007B0CF9" w:rsidRDefault="007B0CF9">
      <w:pPr>
        <w:jc w:val="both"/>
      </w:pPr>
    </w:p>
    <w:p w14:paraId="4545A1E9" w14:textId="77777777" w:rsidR="007B0CF9" w:rsidRDefault="00C2486E">
      <w:pPr>
        <w:jc w:val="both"/>
      </w:pPr>
      <w:r>
        <w:tab/>
        <w:t xml:space="preserve">    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Direzione </w:t>
      </w:r>
      <w:r w:rsidR="00CB5DA3">
        <w:rPr>
          <w:b/>
          <w:bCs/>
        </w:rPr>
        <w:t>Brambati SpA</w:t>
      </w:r>
    </w:p>
    <w:p w14:paraId="1B6132E0" w14:textId="77777777" w:rsidR="007B0CF9" w:rsidRDefault="007B0CF9">
      <w:pPr>
        <w:jc w:val="both"/>
      </w:pPr>
    </w:p>
    <w:p w14:paraId="7AE97CEF" w14:textId="5C93C16F" w:rsidR="007B0CF9" w:rsidRDefault="00F13FB4">
      <w:pPr>
        <w:jc w:val="both"/>
      </w:pPr>
      <w:r>
        <w:t>Codevilla</w:t>
      </w:r>
      <w:r w:rsidR="00C2486E">
        <w:t xml:space="preserve">, </w:t>
      </w:r>
      <w:r w:rsidR="004F71A7">
        <w:t>01</w:t>
      </w:r>
      <w:r w:rsidR="00936ECC">
        <w:t>/0</w:t>
      </w:r>
      <w:r w:rsidR="004F71A7">
        <w:t>9</w:t>
      </w:r>
      <w:r w:rsidR="00936ECC">
        <w:t>/202</w:t>
      </w:r>
      <w:r w:rsidR="004F71A7">
        <w:t>5</w:t>
      </w:r>
      <w:r w:rsidR="00C2486E">
        <w:tab/>
      </w:r>
      <w:r w:rsidR="00C2486E">
        <w:tab/>
      </w:r>
      <w:r w:rsidR="00C2486E">
        <w:tab/>
      </w:r>
      <w:r w:rsidR="00C2486E">
        <w:tab/>
      </w:r>
      <w:r w:rsidR="00C2486E">
        <w:tab/>
        <w:t>………………………………….</w:t>
      </w:r>
      <w:r w:rsidR="00C2486E">
        <w:tab/>
      </w:r>
      <w:r w:rsidR="00C2486E">
        <w:tab/>
      </w:r>
      <w:r w:rsidR="00C2486E">
        <w:tab/>
      </w:r>
      <w:r w:rsidR="00C2486E">
        <w:tab/>
      </w:r>
    </w:p>
    <w:sectPr w:rsidR="007B0CF9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E2E5" w14:textId="77777777" w:rsidR="00AE0C73" w:rsidRDefault="00AE0C73" w:rsidP="00612477">
      <w:r>
        <w:separator/>
      </w:r>
    </w:p>
  </w:endnote>
  <w:endnote w:type="continuationSeparator" w:id="0">
    <w:p w14:paraId="21253BF9" w14:textId="77777777" w:rsidR="00AE0C73" w:rsidRDefault="00AE0C73" w:rsidP="006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427A" w14:textId="253BDAF4" w:rsidR="00612477" w:rsidRPr="00612477" w:rsidRDefault="00612477">
    <w:pPr>
      <w:pStyle w:val="Pidipagina"/>
      <w:rPr>
        <w:sz w:val="16"/>
        <w:szCs w:val="16"/>
      </w:rPr>
    </w:pPr>
    <w:r w:rsidRPr="00612477">
      <w:rPr>
        <w:sz w:val="16"/>
        <w:szCs w:val="16"/>
      </w:rPr>
      <w:t xml:space="preserve">Politica </w:t>
    </w:r>
    <w:r w:rsidR="00EE1EC2">
      <w:rPr>
        <w:sz w:val="16"/>
        <w:szCs w:val="16"/>
      </w:rPr>
      <w:t>degli Acquisti Sostenibili</w:t>
    </w:r>
    <w:r w:rsidR="00936ECC">
      <w:rPr>
        <w:sz w:val="16"/>
        <w:szCs w:val="16"/>
      </w:rPr>
      <w:t xml:space="preserve"> -</w:t>
    </w:r>
    <w:r w:rsidRPr="00612477">
      <w:rPr>
        <w:sz w:val="16"/>
        <w:szCs w:val="16"/>
      </w:rPr>
      <w:t xml:space="preserve"> rev. </w:t>
    </w:r>
    <w:r w:rsidR="004F71A7">
      <w:rPr>
        <w:sz w:val="16"/>
        <w:szCs w:val="16"/>
      </w:rPr>
      <w:t>2</w:t>
    </w:r>
  </w:p>
  <w:p w14:paraId="2D7E1E42" w14:textId="77777777" w:rsidR="00612477" w:rsidRDefault="00612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2ACE" w14:textId="77777777" w:rsidR="00AE0C73" w:rsidRDefault="00AE0C73" w:rsidP="00612477">
      <w:r>
        <w:separator/>
      </w:r>
    </w:p>
  </w:footnote>
  <w:footnote w:type="continuationSeparator" w:id="0">
    <w:p w14:paraId="31775467" w14:textId="77777777" w:rsidR="00AE0C73" w:rsidRDefault="00AE0C73" w:rsidP="0061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D263" w14:textId="6DC0D8DC" w:rsidR="005F2549" w:rsidRDefault="008766F7" w:rsidP="008766F7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090B1" wp14:editId="1A4C5EAB">
          <wp:simplePos x="0" y="0"/>
          <wp:positionH relativeFrom="rightMargin">
            <wp:align>left</wp:align>
          </wp:positionH>
          <wp:positionV relativeFrom="paragraph">
            <wp:posOffset>18415</wp:posOffset>
          </wp:positionV>
          <wp:extent cx="652765" cy="514350"/>
          <wp:effectExtent l="0" t="0" r="0" b="0"/>
          <wp:wrapNone/>
          <wp:docPr id="1130853534" name="Immagine 2" descr="Immagine che contiene logo, Carattere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53534" name="Immagine 2" descr="Immagine che contiene logo, Carattere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E8D271" wp14:editId="38CAF125">
          <wp:extent cx="2237740" cy="323215"/>
          <wp:effectExtent l="0" t="0" r="0" b="635"/>
          <wp:docPr id="1685242200" name="Immagine 1" descr="Immagine che contiene testo, ross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42200" name="Immagine 1" descr="Immagine che contiene testo, ross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50564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6342D"/>
    <w:multiLevelType w:val="hybridMultilevel"/>
    <w:tmpl w:val="E65E2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1544"/>
    <w:multiLevelType w:val="hybridMultilevel"/>
    <w:tmpl w:val="FC60B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502E"/>
    <w:multiLevelType w:val="hybridMultilevel"/>
    <w:tmpl w:val="8A4E3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85B"/>
    <w:multiLevelType w:val="hybridMultilevel"/>
    <w:tmpl w:val="8F8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DC9629E"/>
    <w:multiLevelType w:val="hybridMultilevel"/>
    <w:tmpl w:val="4998D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379E"/>
    <w:multiLevelType w:val="hybridMultilevel"/>
    <w:tmpl w:val="CBAA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565A85"/>
    <w:multiLevelType w:val="hybridMultilevel"/>
    <w:tmpl w:val="F148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09546917">
    <w:abstractNumId w:val="11"/>
  </w:num>
  <w:num w:numId="2" w16cid:durableId="1690830907">
    <w:abstractNumId w:val="8"/>
  </w:num>
  <w:num w:numId="3" w16cid:durableId="350879819">
    <w:abstractNumId w:val="5"/>
  </w:num>
  <w:num w:numId="4" w16cid:durableId="1446460854">
    <w:abstractNumId w:val="9"/>
  </w:num>
  <w:num w:numId="5" w16cid:durableId="808672777">
    <w:abstractNumId w:val="1"/>
  </w:num>
  <w:num w:numId="6" w16cid:durableId="662860545">
    <w:abstractNumId w:val="6"/>
  </w:num>
  <w:num w:numId="7" w16cid:durableId="816609223">
    <w:abstractNumId w:val="0"/>
  </w:num>
  <w:num w:numId="8" w16cid:durableId="1269896503">
    <w:abstractNumId w:val="3"/>
  </w:num>
  <w:num w:numId="9" w16cid:durableId="1086611122">
    <w:abstractNumId w:val="7"/>
  </w:num>
  <w:num w:numId="10" w16cid:durableId="507672847">
    <w:abstractNumId w:val="2"/>
  </w:num>
  <w:num w:numId="11" w16cid:durableId="1250777379">
    <w:abstractNumId w:val="10"/>
  </w:num>
  <w:num w:numId="12" w16cid:durableId="122614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911D1"/>
    <w:rsid w:val="000B54DB"/>
    <w:rsid w:val="00124F48"/>
    <w:rsid w:val="001D731D"/>
    <w:rsid w:val="00226E2D"/>
    <w:rsid w:val="002527A9"/>
    <w:rsid w:val="00253567"/>
    <w:rsid w:val="00353A22"/>
    <w:rsid w:val="003A1F48"/>
    <w:rsid w:val="003F6BA8"/>
    <w:rsid w:val="004F71A7"/>
    <w:rsid w:val="005F2549"/>
    <w:rsid w:val="005F399D"/>
    <w:rsid w:val="00612477"/>
    <w:rsid w:val="007119D1"/>
    <w:rsid w:val="0076733E"/>
    <w:rsid w:val="007B0CF9"/>
    <w:rsid w:val="007E324A"/>
    <w:rsid w:val="008766F7"/>
    <w:rsid w:val="00936ECC"/>
    <w:rsid w:val="00976824"/>
    <w:rsid w:val="009A53D9"/>
    <w:rsid w:val="00A72AC0"/>
    <w:rsid w:val="00A977A9"/>
    <w:rsid w:val="00AE0C73"/>
    <w:rsid w:val="00BF28BE"/>
    <w:rsid w:val="00C22548"/>
    <w:rsid w:val="00C2486E"/>
    <w:rsid w:val="00CB5DA3"/>
    <w:rsid w:val="00DE6EAC"/>
    <w:rsid w:val="00E32305"/>
    <w:rsid w:val="00E63875"/>
    <w:rsid w:val="00ED6A3D"/>
    <w:rsid w:val="00EE1EC2"/>
    <w:rsid w:val="00F12CBA"/>
    <w:rsid w:val="00F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71C93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71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0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3A1F48"/>
    <w:pPr>
      <w:ind w:left="720"/>
      <w:contextualSpacing/>
    </w:pPr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71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paragraph" w:styleId="Puntoelenco">
    <w:name w:val="List Bullet"/>
    <w:basedOn w:val="Normale"/>
    <w:uiPriority w:val="99"/>
    <w:unhideWhenUsed/>
    <w:rsid w:val="004F71A7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</dc:creator>
  <dc:description/>
  <cp:lastModifiedBy>Export Commerciale - Brambati Spa</cp:lastModifiedBy>
  <cp:revision>6</cp:revision>
  <dcterms:created xsi:type="dcterms:W3CDTF">2020-07-06T16:01:00Z</dcterms:created>
  <dcterms:modified xsi:type="dcterms:W3CDTF">2025-09-16T13:53:00Z</dcterms:modified>
  <dc:language>it-IT</dc:language>
</cp:coreProperties>
</file>