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DBF0" w14:textId="77777777" w:rsidR="007B0CF9" w:rsidRPr="00931CFF" w:rsidRDefault="00000000">
      <w:pPr>
        <w:jc w:val="center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POLÍTICA DE SEGURIDAD DE LOS SISTEMAS DE INFORMACIÓN (SSI)</w:t>
      </w:r>
    </w:p>
    <w:p w14:paraId="654A41C1" w14:textId="77777777" w:rsidR="005F2549" w:rsidRPr="00931CFF" w:rsidRDefault="005F2549" w:rsidP="005F2549">
      <w:pPr>
        <w:jc w:val="both"/>
        <w:rPr>
          <w:lang w:val="es-ES"/>
        </w:rPr>
      </w:pPr>
    </w:p>
    <w:p w14:paraId="6CC97276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considera la Seguridad de los Sistemas de Información (SSI) un elemento estratégico para la protección de sus datos, procesos y relaciones con clientes, proveedores y partes interesadas. Esta Política es consistente con los principios de las Directivas europeas NIS2 y REC, está inspirada en las mejores prácticas de la norma ISO/IEC 27001 e integra los requisitos del Sistema de Gestión Integrado de la empresa.</w:t>
      </w:r>
    </w:p>
    <w:p w14:paraId="0739018C" w14:textId="77777777" w:rsidR="00123F9A" w:rsidRPr="00931CFF" w:rsidRDefault="00123F9A" w:rsidP="00123F9A">
      <w:pPr>
        <w:jc w:val="both"/>
        <w:rPr>
          <w:sz w:val="10"/>
          <w:szCs w:val="10"/>
          <w:lang w:val="es-ES"/>
        </w:rPr>
      </w:pPr>
    </w:p>
    <w:p w14:paraId="30FD01E5" w14:textId="77777777" w:rsidR="00123F9A" w:rsidRPr="00931CFF" w:rsidRDefault="00000000" w:rsidP="00123F9A">
      <w:pPr>
        <w:jc w:val="both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Principios fundamentales</w:t>
      </w:r>
    </w:p>
    <w:p w14:paraId="753E8435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Los principios fundamentales que guían la gestión de la seguridad de la información en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se basan en:</w:t>
      </w:r>
    </w:p>
    <w:p w14:paraId="7A62D32C" w14:textId="77777777" w:rsidR="00123F9A" w:rsidRPr="00931CFF" w:rsidRDefault="00123F9A" w:rsidP="00123F9A">
      <w:pPr>
        <w:jc w:val="both"/>
        <w:rPr>
          <w:sz w:val="10"/>
          <w:szCs w:val="10"/>
          <w:lang w:val="es-ES"/>
        </w:rPr>
      </w:pPr>
    </w:p>
    <w:p w14:paraId="3C4C2ACF" w14:textId="77777777" w:rsidR="00123F9A" w:rsidRPr="00931CFF" w:rsidRDefault="00000000" w:rsidP="00123F9A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Disponibilidad → garantizar que los sistemas y la información sean accesibles y utilizables cuando lo requieran los procesos de negocio y los usuarios autorizados;</w:t>
      </w:r>
    </w:p>
    <w:p w14:paraId="5113095C" w14:textId="77777777" w:rsidR="00123F9A" w:rsidRPr="00931CFF" w:rsidRDefault="00000000" w:rsidP="00123F9A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Integridad → garantizar la exactitud, integridad y fiabilidad de los datos y la información a lo largo de su ciclo de vida;</w:t>
      </w:r>
    </w:p>
    <w:p w14:paraId="625AF72B" w14:textId="77777777" w:rsidR="00123F9A" w:rsidRPr="00931CFF" w:rsidRDefault="00000000" w:rsidP="00123F9A">
      <w:pPr>
        <w:pStyle w:val="Paragrafoelenco"/>
        <w:numPr>
          <w:ilvl w:val="0"/>
          <w:numId w:val="11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Confidencialidad → proteger la información del acceso no autorizado, garantizando que sólo las partes autorizadas puedan acceder a ella y procesarla.</w:t>
      </w:r>
    </w:p>
    <w:p w14:paraId="56C92A46" w14:textId="77777777" w:rsidR="00123F9A" w:rsidRPr="00931CFF" w:rsidRDefault="00123F9A" w:rsidP="00123F9A">
      <w:pPr>
        <w:jc w:val="both"/>
        <w:rPr>
          <w:b/>
          <w:bCs/>
          <w:sz w:val="10"/>
          <w:szCs w:val="10"/>
          <w:lang w:val="es-ES"/>
        </w:rPr>
      </w:pPr>
    </w:p>
    <w:p w14:paraId="7E67B0B8" w14:textId="77777777" w:rsidR="00123F9A" w:rsidRPr="00931CFF" w:rsidRDefault="00000000" w:rsidP="00123F9A">
      <w:pPr>
        <w:jc w:val="both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Gestión de los riesgos</w:t>
      </w:r>
    </w:p>
    <w:p w14:paraId="6AF37542" w14:textId="77777777" w:rsidR="00123F9A" w:rsidRDefault="00000000" w:rsidP="00123F9A">
      <w:pPr>
        <w:jc w:val="both"/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adopta un enfoque sistemático de Análisis de Riesgos y Oportunidades para identificar, evaluar y mitigar las amenazas a la seguridad de la información, considerando también el impacto del cambio climático y los eventos extremos en la continuidad de los sistemas TIC. En particular se analizan los siguientes:</w:t>
      </w:r>
    </w:p>
    <w:p w14:paraId="18E64CE8" w14:textId="77777777" w:rsidR="00123F9A" w:rsidRPr="004F0416" w:rsidRDefault="00123F9A" w:rsidP="00123F9A">
      <w:pPr>
        <w:jc w:val="both"/>
        <w:rPr>
          <w:sz w:val="12"/>
          <w:szCs w:val="12"/>
        </w:rPr>
      </w:pPr>
    </w:p>
    <w:p w14:paraId="5621115C" w14:textId="77777777" w:rsidR="00123F9A" w:rsidRPr="00931CFF" w:rsidRDefault="00000000" w:rsidP="00123F9A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Ataques cibernéticos (malware, ransomware, phishing, accesos no autorizados);</w:t>
      </w:r>
    </w:p>
    <w:p w14:paraId="4DA3CF49" w14:textId="77777777" w:rsidR="00123F9A" w:rsidRPr="00931CFF" w:rsidRDefault="00000000" w:rsidP="00123F9A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Fallas técnicas, apagones e indisponibilidad de sistemas críticos;</w:t>
      </w:r>
    </w:p>
    <w:p w14:paraId="20540DB2" w14:textId="77777777" w:rsidR="00123F9A" w:rsidRPr="00931CFF" w:rsidRDefault="00000000" w:rsidP="00123F9A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Eventos naturales y climáticos que pueden comprometer la infraestructura y los centros de datos;</w:t>
      </w:r>
    </w:p>
    <w:p w14:paraId="539E27E6" w14:textId="77777777" w:rsidR="00123F9A" w:rsidRPr="00931CFF" w:rsidRDefault="00000000" w:rsidP="00123F9A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Riesgos derivados de proveedores externos, socios y la cadena de suministro digital;</w:t>
      </w:r>
    </w:p>
    <w:p w14:paraId="756D9245" w14:textId="77777777" w:rsidR="00123F9A" w:rsidRPr="00931CFF" w:rsidRDefault="00000000" w:rsidP="00123F9A">
      <w:pPr>
        <w:pStyle w:val="Paragrafoelenco"/>
        <w:numPr>
          <w:ilvl w:val="0"/>
          <w:numId w:val="12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Errores humanos y falta de concienciación del personal.</w:t>
      </w:r>
    </w:p>
    <w:p w14:paraId="07915A9B" w14:textId="77777777" w:rsidR="00123F9A" w:rsidRPr="00931CFF" w:rsidRDefault="00123F9A" w:rsidP="00123F9A">
      <w:pPr>
        <w:jc w:val="both"/>
        <w:rPr>
          <w:sz w:val="10"/>
          <w:szCs w:val="10"/>
          <w:lang w:val="es-ES"/>
        </w:rPr>
      </w:pPr>
    </w:p>
    <w:p w14:paraId="6E4D9165" w14:textId="77777777" w:rsidR="00123F9A" w:rsidRPr="00123F9A" w:rsidRDefault="00000000" w:rsidP="00123F9A">
      <w:pPr>
        <w:jc w:val="both"/>
      </w:pPr>
      <w:r>
        <w:rPr>
          <w:rFonts w:eastAsia="Liberation Serif"/>
          <w:lang w:val="es-ES"/>
        </w:rPr>
        <w:t>Las oportunidades identificadas incluyen:</w:t>
      </w:r>
    </w:p>
    <w:p w14:paraId="30CFCC86" w14:textId="77777777" w:rsidR="00123F9A" w:rsidRDefault="00123F9A" w:rsidP="00123F9A">
      <w:pPr>
        <w:jc w:val="both"/>
      </w:pPr>
    </w:p>
    <w:p w14:paraId="2EE5FBD6" w14:textId="77777777" w:rsidR="00123F9A" w:rsidRPr="00931CFF" w:rsidRDefault="00000000" w:rsidP="00123F9A">
      <w:pPr>
        <w:pStyle w:val="Paragrafoelenco"/>
        <w:numPr>
          <w:ilvl w:val="0"/>
          <w:numId w:val="13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Adopción de tecnologías innovadoras y seguras (nube resiliente, IA, blockchain);</w:t>
      </w:r>
    </w:p>
    <w:p w14:paraId="47FAFB56" w14:textId="77777777" w:rsidR="00123F9A" w:rsidRPr="00931CFF" w:rsidRDefault="00000000" w:rsidP="00123F9A">
      <w:pPr>
        <w:pStyle w:val="Paragrafoelenco"/>
        <w:numPr>
          <w:ilvl w:val="0"/>
          <w:numId w:val="13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Desarrollo de una cultura de ciberseguridad corporativa a través de capacitación continua;</w:t>
      </w:r>
    </w:p>
    <w:p w14:paraId="0288EDBC" w14:textId="77777777" w:rsidR="00123F9A" w:rsidRPr="00931CFF" w:rsidRDefault="00000000" w:rsidP="00123F9A">
      <w:pPr>
        <w:pStyle w:val="Paragrafoelenco"/>
        <w:numPr>
          <w:ilvl w:val="0"/>
          <w:numId w:val="13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Mayor confianza de los clientes y las partes interesadas a través de sistemas seguros y confiables;</w:t>
      </w:r>
    </w:p>
    <w:p w14:paraId="5A14F074" w14:textId="77777777" w:rsidR="00123F9A" w:rsidRPr="00931CFF" w:rsidRDefault="00000000" w:rsidP="00123F9A">
      <w:pPr>
        <w:pStyle w:val="Paragrafoelenco"/>
        <w:numPr>
          <w:ilvl w:val="0"/>
          <w:numId w:val="13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Resiliencia organizacional y capacidad de respuesta rápida ante incidentes y crisis.</w:t>
      </w:r>
    </w:p>
    <w:p w14:paraId="705983F5" w14:textId="77777777" w:rsidR="00123F9A" w:rsidRPr="00931CFF" w:rsidRDefault="00123F9A" w:rsidP="00123F9A">
      <w:pPr>
        <w:jc w:val="both"/>
        <w:rPr>
          <w:b/>
          <w:bCs/>
          <w:lang w:val="es-ES"/>
        </w:rPr>
      </w:pPr>
    </w:p>
    <w:p w14:paraId="35283B7A" w14:textId="77777777" w:rsidR="00123F9A" w:rsidRPr="00931CFF" w:rsidRDefault="00000000" w:rsidP="00123F9A">
      <w:pPr>
        <w:jc w:val="both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Compromisos de gestión</w:t>
      </w:r>
    </w:p>
    <w:p w14:paraId="637E7955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La gestión de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se compromete a:</w:t>
      </w:r>
    </w:p>
    <w:p w14:paraId="06018CB2" w14:textId="77777777" w:rsidR="00123F9A" w:rsidRPr="00931CFF" w:rsidRDefault="00123F9A" w:rsidP="00123F9A">
      <w:pPr>
        <w:jc w:val="both"/>
        <w:rPr>
          <w:lang w:val="es-ES"/>
        </w:rPr>
      </w:pPr>
    </w:p>
    <w:p w14:paraId="047F41D7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Garantizar el cumplimiento de las leyes, regulaciones y directivas aplicables (NIS2, REC, GDPR, Código de privacidad);</w:t>
      </w:r>
    </w:p>
    <w:p w14:paraId="210D78EC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Definir objetivos y programas de mejora de la seguridad de la información;</w:t>
      </w:r>
    </w:p>
    <w:p w14:paraId="1CE4C8D5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Garantizar recursos, roles y responsabilidades para la gestión de la seguridad;</w:t>
      </w:r>
    </w:p>
    <w:p w14:paraId="0FF957B7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Revisar periódicamente esta Política y el sistema de seguridad de la información para verificar su eficacia y adecuación;</w:t>
      </w:r>
    </w:p>
    <w:p w14:paraId="6BA6D421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Integrar los principios de seguridad por diseño y por defecto en el desarrollo y gestión de procesos y sistemas de información;</w:t>
      </w:r>
    </w:p>
    <w:p w14:paraId="7A24EF38" w14:textId="77777777" w:rsidR="00123F9A" w:rsidRPr="00931CFF" w:rsidRDefault="00000000" w:rsidP="00123F9A">
      <w:pPr>
        <w:pStyle w:val="Paragrafoelenco"/>
        <w:numPr>
          <w:ilvl w:val="0"/>
          <w:numId w:val="14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la concientización y capacitación de todo el personal sobre seguridad de la información.</w:t>
      </w:r>
    </w:p>
    <w:p w14:paraId="75FA33A6" w14:textId="77777777" w:rsidR="00123F9A" w:rsidRPr="00931CFF" w:rsidRDefault="00123F9A" w:rsidP="00123F9A">
      <w:pPr>
        <w:jc w:val="both"/>
        <w:rPr>
          <w:b/>
          <w:bCs/>
          <w:lang w:val="es-ES"/>
        </w:rPr>
      </w:pPr>
    </w:p>
    <w:p w14:paraId="1A9C4E55" w14:textId="77777777" w:rsidR="00123F9A" w:rsidRPr="00931CFF" w:rsidRDefault="00000000" w:rsidP="00123F9A">
      <w:pPr>
        <w:jc w:val="both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lastRenderedPageBreak/>
        <w:t>Objetivos operativos</w:t>
      </w:r>
    </w:p>
    <w:p w14:paraId="7975E36C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Los objetivos operativos que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se fija en materia de SSI incluyen:</w:t>
      </w:r>
    </w:p>
    <w:p w14:paraId="3AA2B08D" w14:textId="77777777" w:rsidR="00123F9A" w:rsidRPr="00931CFF" w:rsidRDefault="00123F9A" w:rsidP="00123F9A">
      <w:pPr>
        <w:jc w:val="both"/>
        <w:rPr>
          <w:lang w:val="es-ES"/>
        </w:rPr>
      </w:pPr>
    </w:p>
    <w:p w14:paraId="0E5BF70E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Proteger los datos personales, industriales y de propiedad contra el acceso y procesamiento no autorizados;</w:t>
      </w:r>
    </w:p>
    <w:p w14:paraId="792181CA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Garantizar la continuidad del negocio y las capacidades de recuperación rápida a través de planes de continuidad del negocio y recuperación ante desastres;</w:t>
      </w:r>
    </w:p>
    <w:p w14:paraId="157D1AF2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Monitorear continuamente los sistemas para detectar y responder con prontitud a incidentes de seguridad;</w:t>
      </w:r>
    </w:p>
    <w:p w14:paraId="7B7F736D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Gestionar correctamente el acceso, las identidades digitales y los privilegios de los usuarios;</w:t>
      </w:r>
    </w:p>
    <w:p w14:paraId="637C21AB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Realizar copias de seguridad seguras de forma periódica y pruebas de restauración;</w:t>
      </w:r>
    </w:p>
    <w:p w14:paraId="2C248DBD" w14:textId="77777777" w:rsidR="00123F9A" w:rsidRPr="00931CFF" w:rsidRDefault="00000000" w:rsidP="00123F9A">
      <w:pPr>
        <w:pStyle w:val="Paragrafoelenco"/>
        <w:numPr>
          <w:ilvl w:val="0"/>
          <w:numId w:val="15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Evaluar y supervisar a proveedores críticos y servicios subcontratados para garantizar la alineación con los estándares de seguridad corporativa.</w:t>
      </w:r>
    </w:p>
    <w:p w14:paraId="115E65BA" w14:textId="77777777" w:rsidR="00123F9A" w:rsidRPr="00931CFF" w:rsidRDefault="00123F9A" w:rsidP="00123F9A">
      <w:pPr>
        <w:jc w:val="both"/>
        <w:rPr>
          <w:b/>
          <w:bCs/>
          <w:lang w:val="es-ES"/>
        </w:rPr>
      </w:pPr>
    </w:p>
    <w:p w14:paraId="6D7150C8" w14:textId="77777777" w:rsidR="00123F9A" w:rsidRPr="00931CFF" w:rsidRDefault="00000000" w:rsidP="00123F9A">
      <w:pPr>
        <w:jc w:val="both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Monitoreo y mejora</w:t>
      </w:r>
    </w:p>
    <w:p w14:paraId="2F34FC0C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garantiza la monitorización constante y la mejora continua de la seguridad de los sistemas de información a través de:</w:t>
      </w:r>
    </w:p>
    <w:p w14:paraId="1EB627B6" w14:textId="77777777" w:rsidR="00123F9A" w:rsidRPr="00931CFF" w:rsidRDefault="00123F9A" w:rsidP="00123F9A">
      <w:pPr>
        <w:jc w:val="both"/>
        <w:rPr>
          <w:sz w:val="14"/>
          <w:szCs w:val="14"/>
          <w:lang w:val="es-ES"/>
        </w:rPr>
      </w:pPr>
    </w:p>
    <w:p w14:paraId="4D1E324E" w14:textId="77777777" w:rsidR="00123F9A" w:rsidRPr="00931CFF" w:rsidRDefault="00000000" w:rsidP="00123F9A">
      <w:pPr>
        <w:pStyle w:val="Paragrafoelenco"/>
        <w:numPr>
          <w:ilvl w:val="0"/>
          <w:numId w:val="16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Definición y seguimiento de KPI (incidentes gestionados, tiempos promedio de recuperación, % capacitación completada, disponibilidad de sistemas críticos);</w:t>
      </w:r>
    </w:p>
    <w:p w14:paraId="1A7CB53A" w14:textId="77777777" w:rsidR="00123F9A" w:rsidRPr="00931CFF" w:rsidRDefault="00000000" w:rsidP="00123F9A">
      <w:pPr>
        <w:pStyle w:val="Paragrafoelenco"/>
        <w:numPr>
          <w:ilvl w:val="0"/>
          <w:numId w:val="16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Auditorías internas y externas para verificar el cumplimiento de las políticas y estándares de seguridad;</w:t>
      </w:r>
    </w:p>
    <w:p w14:paraId="3D413236" w14:textId="77777777" w:rsidR="00123F9A" w:rsidRPr="00931CFF" w:rsidRDefault="00000000" w:rsidP="00123F9A">
      <w:pPr>
        <w:pStyle w:val="Paragrafoelenco"/>
        <w:numPr>
          <w:ilvl w:val="0"/>
          <w:numId w:val="16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Análisis periódico de amenazas y actualización de contramedidas técnicas y organizativas;</w:t>
      </w:r>
    </w:p>
    <w:p w14:paraId="093007AE" w14:textId="77777777" w:rsidR="00123F9A" w:rsidRPr="00931CFF" w:rsidRDefault="00000000" w:rsidP="00123F9A">
      <w:pPr>
        <w:pStyle w:val="Paragrafoelenco"/>
        <w:numPr>
          <w:ilvl w:val="0"/>
          <w:numId w:val="16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Participación activa de la dirección y de los responsables operativos en los procesos de toma de decisiones relacionados con el SSI.</w:t>
      </w:r>
    </w:p>
    <w:p w14:paraId="12A34B52" w14:textId="77777777" w:rsidR="00123F9A" w:rsidRPr="00931CFF" w:rsidRDefault="00123F9A" w:rsidP="00123F9A">
      <w:pPr>
        <w:jc w:val="both"/>
        <w:rPr>
          <w:sz w:val="12"/>
          <w:szCs w:val="12"/>
          <w:lang w:val="es-ES"/>
        </w:rPr>
      </w:pPr>
    </w:p>
    <w:p w14:paraId="1D8D499B" w14:textId="77777777" w:rsidR="00595FA3" w:rsidRPr="00931CFF" w:rsidRDefault="00000000" w:rsidP="00595FA3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Integración en el uso de la Inteligencia Artificial (IA)</w:t>
      </w:r>
    </w:p>
    <w:p w14:paraId="504D775B" w14:textId="77777777" w:rsidR="00595FA3" w:rsidRPr="00931CFF" w:rsidRDefault="00000000" w:rsidP="00595FA3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>, aunque no desarrolla sistemas de Inteligencia Artificial, los utiliza en algunos procesos de gestión, producción y soporte. Por este motivo, la empresa reconoce la importancia de garantizar que estas herramientas se utilicen de forma segura, responsable y de conformidad con la legislación europea, en particular el Reglamento (UE) AI Act y el RGPD.</w:t>
      </w:r>
    </w:p>
    <w:p w14:paraId="46E8B2CD" w14:textId="77777777" w:rsidR="00595FA3" w:rsidRPr="00931CFF" w:rsidRDefault="00000000" w:rsidP="00595FA3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En relación con el uso de herramientas de IA,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se compromete a:</w:t>
      </w:r>
    </w:p>
    <w:p w14:paraId="68204D05" w14:textId="77777777" w:rsidR="00595FA3" w:rsidRPr="00931CFF" w:rsidRDefault="00595FA3" w:rsidP="00595FA3">
      <w:pPr>
        <w:jc w:val="both"/>
        <w:rPr>
          <w:sz w:val="12"/>
          <w:szCs w:val="12"/>
          <w:lang w:val="es-ES"/>
        </w:rPr>
      </w:pPr>
    </w:p>
    <w:p w14:paraId="3A379DE5" w14:textId="77777777" w:rsidR="00595FA3" w:rsidRPr="00931CFF" w:rsidRDefault="00000000" w:rsidP="00595FA3">
      <w:pPr>
        <w:pStyle w:val="Paragrafoelenco"/>
        <w:numPr>
          <w:ilvl w:val="0"/>
          <w:numId w:val="17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Aplicar los principios fundamentales de disponibilidad, integridad y confidencialidad a los datos y algoritmos utilizados por los sistemas de IA;</w:t>
      </w:r>
    </w:p>
    <w:p w14:paraId="02B1354F" w14:textId="77777777" w:rsidR="00595FA3" w:rsidRPr="00931CFF" w:rsidRDefault="00000000" w:rsidP="00595FA3">
      <w:pPr>
        <w:pStyle w:val="Paragrafoelenco"/>
        <w:numPr>
          <w:ilvl w:val="0"/>
          <w:numId w:val="17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Evaluar y mitigar los riesgos relacionados con el sesgo, la discriminación algorítmica y la opacidad de las decisiones automatizadas;</w:t>
      </w:r>
    </w:p>
    <w:p w14:paraId="6356C661" w14:textId="77777777" w:rsidR="00595FA3" w:rsidRPr="00931CFF" w:rsidRDefault="00000000" w:rsidP="00595FA3">
      <w:pPr>
        <w:pStyle w:val="Paragrafoelenco"/>
        <w:numPr>
          <w:ilvl w:val="0"/>
          <w:numId w:val="17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Verificar el cumplimiento de los proveedores de soluciones de IA con las regulaciones europeas y los estándares éticos de la industria;</w:t>
      </w:r>
    </w:p>
    <w:p w14:paraId="1305574D" w14:textId="77777777" w:rsidR="00595FA3" w:rsidRPr="00931CFF" w:rsidRDefault="00000000" w:rsidP="00595FA3">
      <w:pPr>
        <w:pStyle w:val="Paragrafoelenco"/>
        <w:numPr>
          <w:ilvl w:val="0"/>
          <w:numId w:val="17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Garantizar la transparencia y la rendición de cuentas en el uso de herramientas de IA, garantizando que las decisiones críticas nunca se confíen exclusivamente a sistemas automatizados;</w:t>
      </w:r>
    </w:p>
    <w:p w14:paraId="4EF2EA35" w14:textId="77777777" w:rsidR="00595FA3" w:rsidRPr="00931CFF" w:rsidRDefault="00000000" w:rsidP="00595FA3">
      <w:pPr>
        <w:pStyle w:val="Paragrafoelenco"/>
        <w:numPr>
          <w:ilvl w:val="0"/>
          <w:numId w:val="17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Integrar la IA en los procesos de capacitación, auditoría y monitoreo de seguridad de los sistemas de información.</w:t>
      </w:r>
    </w:p>
    <w:p w14:paraId="580FC6CC" w14:textId="77777777" w:rsidR="00595FA3" w:rsidRPr="00931CFF" w:rsidRDefault="00595FA3" w:rsidP="00123F9A">
      <w:pPr>
        <w:jc w:val="both"/>
        <w:rPr>
          <w:sz w:val="12"/>
          <w:szCs w:val="12"/>
          <w:lang w:val="es-ES"/>
        </w:rPr>
      </w:pPr>
    </w:p>
    <w:p w14:paraId="704A6E40" w14:textId="77777777" w:rsidR="00123F9A" w:rsidRPr="00931CFF" w:rsidRDefault="00000000" w:rsidP="00123F9A">
      <w:pPr>
        <w:jc w:val="both"/>
        <w:rPr>
          <w:lang w:val="es-ES"/>
        </w:rPr>
      </w:pPr>
      <w:r>
        <w:rPr>
          <w:rFonts w:eastAsia="Liberation Serif"/>
          <w:lang w:val="es-ES"/>
        </w:rPr>
        <w:t xml:space="preserve">Esta Política de Seguridad de los Sistemas de Información se difunde a todo el personal, se pone a disposición de las partes interesadas y se publica en el sitio web de la empresa. Representa el compromiso formal de </w:t>
      </w: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proteger sus activos de información, garantizando la disponibilidad, integridad y confidencialidad, y perseguir la mejora continua en la seguridad de informática.</w:t>
      </w:r>
    </w:p>
    <w:p w14:paraId="72748DE6" w14:textId="77777777" w:rsidR="007B0CF9" w:rsidRPr="00931CFF" w:rsidRDefault="007B0CF9">
      <w:pPr>
        <w:jc w:val="both"/>
        <w:rPr>
          <w:sz w:val="10"/>
          <w:szCs w:val="10"/>
          <w:lang w:val="es-ES"/>
        </w:rPr>
      </w:pPr>
    </w:p>
    <w:p w14:paraId="7C74AC1C" w14:textId="77777777" w:rsidR="007B0CF9" w:rsidRPr="00931CFF" w:rsidRDefault="00000000">
      <w:pPr>
        <w:jc w:val="both"/>
        <w:rPr>
          <w:lang w:val="es-ES"/>
        </w:rPr>
      </w:pPr>
      <w:r>
        <w:rPr>
          <w:rFonts w:eastAsia="Liberation Serif"/>
          <w:lang w:val="es-ES"/>
        </w:rPr>
        <w:tab/>
        <w:t xml:space="preserve">     Fecha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 xml:space="preserve"> Dirección </w:t>
      </w:r>
      <w:r>
        <w:rPr>
          <w:rFonts w:eastAsia="Liberation Serif"/>
          <w:b/>
          <w:bCs/>
          <w:lang w:val="es-ES"/>
        </w:rPr>
        <w:t>Brambati SpA</w:t>
      </w:r>
    </w:p>
    <w:p w14:paraId="22FB9C3E" w14:textId="77777777" w:rsidR="00595FA3" w:rsidRPr="00931CFF" w:rsidRDefault="00595FA3">
      <w:pPr>
        <w:jc w:val="both"/>
        <w:rPr>
          <w:sz w:val="2"/>
          <w:szCs w:val="2"/>
          <w:lang w:val="es-ES"/>
        </w:rPr>
      </w:pPr>
    </w:p>
    <w:p w14:paraId="29A5C9EC" w14:textId="77777777" w:rsidR="007B0CF9" w:rsidRPr="00931CFF" w:rsidRDefault="00000000">
      <w:pPr>
        <w:jc w:val="both"/>
        <w:rPr>
          <w:lang w:val="es-ES"/>
        </w:rPr>
      </w:pPr>
      <w:r>
        <w:rPr>
          <w:rFonts w:eastAsia="Liberation Serif"/>
          <w:lang w:val="es-ES"/>
        </w:rPr>
        <w:t>Codevilla, 01/09/2025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>………………………………….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</w:p>
    <w:sectPr w:rsidR="007B0CF9" w:rsidRPr="00931CFF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6102" w14:textId="77777777" w:rsidR="00986927" w:rsidRDefault="00986927">
      <w:r>
        <w:separator/>
      </w:r>
    </w:p>
  </w:endnote>
  <w:endnote w:type="continuationSeparator" w:id="0">
    <w:p w14:paraId="1EEE17A3" w14:textId="77777777" w:rsidR="00986927" w:rsidRDefault="0098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99DC" w14:textId="77777777" w:rsidR="00612477" w:rsidRPr="00931CFF" w:rsidRDefault="00000000">
    <w:pPr>
      <w:pStyle w:val="Pidipagina"/>
      <w:rPr>
        <w:sz w:val="16"/>
        <w:szCs w:val="16"/>
        <w:lang w:val="es-ES"/>
      </w:rPr>
    </w:pPr>
    <w:r>
      <w:rPr>
        <w:rFonts w:eastAsia="Liberation Serif"/>
        <w:sz w:val="16"/>
        <w:szCs w:val="16"/>
        <w:lang w:val="es-ES"/>
      </w:rPr>
      <w:t>Política de seguridad de los sistemas de información, rev. 2</w:t>
    </w:r>
  </w:p>
  <w:p w14:paraId="439E785F" w14:textId="77777777" w:rsidR="00612477" w:rsidRPr="00931CFF" w:rsidRDefault="0061247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D618" w14:textId="77777777" w:rsidR="00986927" w:rsidRDefault="00986927">
      <w:r>
        <w:separator/>
      </w:r>
    </w:p>
  </w:footnote>
  <w:footnote w:type="continuationSeparator" w:id="0">
    <w:p w14:paraId="155E08C5" w14:textId="77777777" w:rsidR="00986927" w:rsidRDefault="0098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F53C" w14:textId="5A31AD48" w:rsidR="005F2549" w:rsidRDefault="00931CFF" w:rsidP="00931CFF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3FA7B1" wp14:editId="3ED19AAB">
          <wp:simplePos x="0" y="0"/>
          <wp:positionH relativeFrom="page">
            <wp:align>right</wp:align>
          </wp:positionH>
          <wp:positionV relativeFrom="paragraph">
            <wp:posOffset>18415</wp:posOffset>
          </wp:positionV>
          <wp:extent cx="714375" cy="514461"/>
          <wp:effectExtent l="0" t="0" r="0" b="0"/>
          <wp:wrapNone/>
          <wp:docPr id="721647096" name="Immagine 1" descr="Immagine che contiene logo, Carattere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47096" name="Immagine 1" descr="Immagine che contiene logo, Carattere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1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DDE1DE2" wp14:editId="62F47647">
          <wp:extent cx="2237740" cy="323215"/>
          <wp:effectExtent l="0" t="0" r="0" b="635"/>
          <wp:docPr id="1685242200" name="Immagine 1" descr="Immagine che contiene testo, ross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42200" name="Immagine 1" descr="Immagine che contiene testo, ross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8A"/>
    <w:multiLevelType w:val="hybridMultilevel"/>
    <w:tmpl w:val="B590DC02"/>
    <w:lvl w:ilvl="0" w:tplc="64C42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23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06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AA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1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A4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8A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64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CB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1F3D"/>
    <w:multiLevelType w:val="hybridMultilevel"/>
    <w:tmpl w:val="0DC230DA"/>
    <w:lvl w:ilvl="0" w:tplc="1F8EE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E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AB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C3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6A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24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6F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C0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25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AD3"/>
    <w:multiLevelType w:val="hybridMultilevel"/>
    <w:tmpl w:val="AD68EE48"/>
    <w:lvl w:ilvl="0" w:tplc="6844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0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2B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4E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A8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C6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AA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6F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DE6CBB"/>
    <w:multiLevelType w:val="hybridMultilevel"/>
    <w:tmpl w:val="1BF87D7E"/>
    <w:lvl w:ilvl="0" w:tplc="7C206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A0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E1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4E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A7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62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4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09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0A65"/>
    <w:multiLevelType w:val="hybridMultilevel"/>
    <w:tmpl w:val="02E0C738"/>
    <w:lvl w:ilvl="0" w:tplc="0E925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8F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81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4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C5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C4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E6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E4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45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399F"/>
    <w:multiLevelType w:val="hybridMultilevel"/>
    <w:tmpl w:val="AB80B9BC"/>
    <w:lvl w:ilvl="0" w:tplc="4E8A5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5C60" w:tentative="1">
      <w:start w:val="1"/>
      <w:numFmt w:val="lowerLetter"/>
      <w:lvlText w:val="%2."/>
      <w:lvlJc w:val="left"/>
      <w:pPr>
        <w:ind w:left="1440" w:hanging="360"/>
      </w:pPr>
    </w:lvl>
    <w:lvl w:ilvl="2" w:tplc="5A98D254" w:tentative="1">
      <w:start w:val="1"/>
      <w:numFmt w:val="lowerRoman"/>
      <w:lvlText w:val="%3."/>
      <w:lvlJc w:val="right"/>
      <w:pPr>
        <w:ind w:left="2160" w:hanging="180"/>
      </w:pPr>
    </w:lvl>
    <w:lvl w:ilvl="3" w:tplc="94A051AE" w:tentative="1">
      <w:start w:val="1"/>
      <w:numFmt w:val="decimal"/>
      <w:lvlText w:val="%4."/>
      <w:lvlJc w:val="left"/>
      <w:pPr>
        <w:ind w:left="2880" w:hanging="360"/>
      </w:pPr>
    </w:lvl>
    <w:lvl w:ilvl="4" w:tplc="EAA2EE8E" w:tentative="1">
      <w:start w:val="1"/>
      <w:numFmt w:val="lowerLetter"/>
      <w:lvlText w:val="%5."/>
      <w:lvlJc w:val="left"/>
      <w:pPr>
        <w:ind w:left="3600" w:hanging="360"/>
      </w:pPr>
    </w:lvl>
    <w:lvl w:ilvl="5" w:tplc="6F52285C" w:tentative="1">
      <w:start w:val="1"/>
      <w:numFmt w:val="lowerRoman"/>
      <w:lvlText w:val="%6."/>
      <w:lvlJc w:val="right"/>
      <w:pPr>
        <w:ind w:left="4320" w:hanging="180"/>
      </w:pPr>
    </w:lvl>
    <w:lvl w:ilvl="6" w:tplc="C602D5F8" w:tentative="1">
      <w:start w:val="1"/>
      <w:numFmt w:val="decimal"/>
      <w:lvlText w:val="%7."/>
      <w:lvlJc w:val="left"/>
      <w:pPr>
        <w:ind w:left="5040" w:hanging="360"/>
      </w:pPr>
    </w:lvl>
    <w:lvl w:ilvl="7" w:tplc="0A3CFB0E" w:tentative="1">
      <w:start w:val="1"/>
      <w:numFmt w:val="lowerLetter"/>
      <w:lvlText w:val="%8."/>
      <w:lvlJc w:val="left"/>
      <w:pPr>
        <w:ind w:left="5760" w:hanging="360"/>
      </w:pPr>
    </w:lvl>
    <w:lvl w:ilvl="8" w:tplc="E3944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70A4554"/>
    <w:multiLevelType w:val="hybridMultilevel"/>
    <w:tmpl w:val="B10EF52A"/>
    <w:lvl w:ilvl="0" w:tplc="46188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B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8B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1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3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84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4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2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05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6D0E"/>
    <w:multiLevelType w:val="hybridMultilevel"/>
    <w:tmpl w:val="5D2863EA"/>
    <w:lvl w:ilvl="0" w:tplc="2ACE7A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329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AC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0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C3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82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88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0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CE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D2FBA"/>
    <w:multiLevelType w:val="hybridMultilevel"/>
    <w:tmpl w:val="8BFA9876"/>
    <w:lvl w:ilvl="0" w:tplc="B524DC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7B4C610" w:tentative="1">
      <w:start w:val="1"/>
      <w:numFmt w:val="lowerLetter"/>
      <w:lvlText w:val="%2."/>
      <w:lvlJc w:val="left"/>
      <w:pPr>
        <w:ind w:left="1440" w:hanging="360"/>
      </w:pPr>
    </w:lvl>
    <w:lvl w:ilvl="2" w:tplc="EE387350" w:tentative="1">
      <w:start w:val="1"/>
      <w:numFmt w:val="lowerRoman"/>
      <w:lvlText w:val="%3."/>
      <w:lvlJc w:val="right"/>
      <w:pPr>
        <w:ind w:left="2160" w:hanging="180"/>
      </w:pPr>
    </w:lvl>
    <w:lvl w:ilvl="3" w:tplc="3A369F26" w:tentative="1">
      <w:start w:val="1"/>
      <w:numFmt w:val="decimal"/>
      <w:lvlText w:val="%4."/>
      <w:lvlJc w:val="left"/>
      <w:pPr>
        <w:ind w:left="2880" w:hanging="360"/>
      </w:pPr>
    </w:lvl>
    <w:lvl w:ilvl="4" w:tplc="1C2AC6FC" w:tentative="1">
      <w:start w:val="1"/>
      <w:numFmt w:val="lowerLetter"/>
      <w:lvlText w:val="%5."/>
      <w:lvlJc w:val="left"/>
      <w:pPr>
        <w:ind w:left="3600" w:hanging="360"/>
      </w:pPr>
    </w:lvl>
    <w:lvl w:ilvl="5" w:tplc="36D62E18" w:tentative="1">
      <w:start w:val="1"/>
      <w:numFmt w:val="lowerRoman"/>
      <w:lvlText w:val="%6."/>
      <w:lvlJc w:val="right"/>
      <w:pPr>
        <w:ind w:left="4320" w:hanging="180"/>
      </w:pPr>
    </w:lvl>
    <w:lvl w:ilvl="6" w:tplc="C21C4A2C" w:tentative="1">
      <w:start w:val="1"/>
      <w:numFmt w:val="decimal"/>
      <w:lvlText w:val="%7."/>
      <w:lvlJc w:val="left"/>
      <w:pPr>
        <w:ind w:left="5040" w:hanging="360"/>
      </w:pPr>
    </w:lvl>
    <w:lvl w:ilvl="7" w:tplc="03E2588C" w:tentative="1">
      <w:start w:val="1"/>
      <w:numFmt w:val="lowerLetter"/>
      <w:lvlText w:val="%8."/>
      <w:lvlJc w:val="left"/>
      <w:pPr>
        <w:ind w:left="5760" w:hanging="360"/>
      </w:pPr>
    </w:lvl>
    <w:lvl w:ilvl="8" w:tplc="54769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1036"/>
    <w:multiLevelType w:val="hybridMultilevel"/>
    <w:tmpl w:val="3CE0E68E"/>
    <w:lvl w:ilvl="0" w:tplc="E0048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5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22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4A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F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CA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81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45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C5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709313C"/>
    <w:multiLevelType w:val="hybridMultilevel"/>
    <w:tmpl w:val="03426C44"/>
    <w:lvl w:ilvl="0" w:tplc="70F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0A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E3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AD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27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6F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A4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C4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36789F"/>
    <w:multiLevelType w:val="hybridMultilevel"/>
    <w:tmpl w:val="8BB8A864"/>
    <w:lvl w:ilvl="0" w:tplc="E09A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04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A1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A3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0A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1CF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6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CF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CE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24F74"/>
    <w:multiLevelType w:val="hybridMultilevel"/>
    <w:tmpl w:val="16481222"/>
    <w:lvl w:ilvl="0" w:tplc="C730296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9D425F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92E1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5E51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7FE66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700B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8EDF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126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6497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4815850">
    <w:abstractNumId w:val="14"/>
  </w:num>
  <w:num w:numId="2" w16cid:durableId="2078629187">
    <w:abstractNumId w:val="7"/>
  </w:num>
  <w:num w:numId="3" w16cid:durableId="1797599934">
    <w:abstractNumId w:val="3"/>
  </w:num>
  <w:num w:numId="4" w16cid:durableId="1535389670">
    <w:abstractNumId w:val="12"/>
  </w:num>
  <w:num w:numId="5" w16cid:durableId="938105880">
    <w:abstractNumId w:val="9"/>
  </w:num>
  <w:num w:numId="6" w16cid:durableId="1917127335">
    <w:abstractNumId w:val="16"/>
  </w:num>
  <w:num w:numId="7" w16cid:durableId="65882416">
    <w:abstractNumId w:val="10"/>
  </w:num>
  <w:num w:numId="8" w16cid:durableId="378286850">
    <w:abstractNumId w:val="1"/>
  </w:num>
  <w:num w:numId="9" w16cid:durableId="1270773041">
    <w:abstractNumId w:val="11"/>
  </w:num>
  <w:num w:numId="10" w16cid:durableId="1836187816">
    <w:abstractNumId w:val="6"/>
  </w:num>
  <w:num w:numId="11" w16cid:durableId="1941139181">
    <w:abstractNumId w:val="13"/>
  </w:num>
  <w:num w:numId="12" w16cid:durableId="96214595">
    <w:abstractNumId w:val="8"/>
  </w:num>
  <w:num w:numId="13" w16cid:durableId="2040887284">
    <w:abstractNumId w:val="4"/>
  </w:num>
  <w:num w:numId="14" w16cid:durableId="1994336158">
    <w:abstractNumId w:val="5"/>
  </w:num>
  <w:num w:numId="15" w16cid:durableId="1094740735">
    <w:abstractNumId w:val="15"/>
  </w:num>
  <w:num w:numId="16" w16cid:durableId="43992825">
    <w:abstractNumId w:val="0"/>
  </w:num>
  <w:num w:numId="17" w16cid:durableId="14007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16087"/>
    <w:rsid w:val="0007229C"/>
    <w:rsid w:val="000B54DB"/>
    <w:rsid w:val="000D6C21"/>
    <w:rsid w:val="000F3C2E"/>
    <w:rsid w:val="00102C61"/>
    <w:rsid w:val="00123F9A"/>
    <w:rsid w:val="00124F48"/>
    <w:rsid w:val="001A3DF0"/>
    <w:rsid w:val="001D731D"/>
    <w:rsid w:val="00275247"/>
    <w:rsid w:val="002F0405"/>
    <w:rsid w:val="004777E3"/>
    <w:rsid w:val="004F0416"/>
    <w:rsid w:val="00542F52"/>
    <w:rsid w:val="00595FA3"/>
    <w:rsid w:val="005F2549"/>
    <w:rsid w:val="00612477"/>
    <w:rsid w:val="006C1E44"/>
    <w:rsid w:val="007B0CF9"/>
    <w:rsid w:val="007E324A"/>
    <w:rsid w:val="008715D6"/>
    <w:rsid w:val="00931CFF"/>
    <w:rsid w:val="00986927"/>
    <w:rsid w:val="009B0F61"/>
    <w:rsid w:val="00A25743"/>
    <w:rsid w:val="00A56649"/>
    <w:rsid w:val="00AD4403"/>
    <w:rsid w:val="00B30951"/>
    <w:rsid w:val="00BC3778"/>
    <w:rsid w:val="00C2486E"/>
    <w:rsid w:val="00CB5DA3"/>
    <w:rsid w:val="00DE6EAC"/>
    <w:rsid w:val="00F13FB4"/>
    <w:rsid w:val="00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E596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A2574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</dc:creator>
  <cp:lastModifiedBy>Export Commerciale - Brambati Spa</cp:lastModifiedBy>
  <cp:revision>7</cp:revision>
  <dcterms:created xsi:type="dcterms:W3CDTF">2020-07-06T15:57:00Z</dcterms:created>
  <dcterms:modified xsi:type="dcterms:W3CDTF">2025-09-16T14:08:00Z</dcterms:modified>
  <dc:language>it-IT</dc:language>
</cp:coreProperties>
</file>